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2FCB9" w14:textId="328C9527" w:rsidR="006A3EA0" w:rsidRDefault="006A3EA0" w:rsidP="006A3EA0">
      <w:pPr>
        <w:spacing w:before="60" w:after="60"/>
        <w:jc w:val="right"/>
        <w:rPr>
          <w:rFonts w:ascii="Times New Roman" w:hAnsi="Times New Roman" w:cs="Times New Roman"/>
          <w:sz w:val="20"/>
          <w:szCs w:val="20"/>
        </w:rPr>
      </w:pPr>
      <w:r>
        <w:rPr>
          <w:rFonts w:ascii="Times New Roman" w:hAnsi="Times New Roman" w:cs="Times New Roman"/>
          <w:sz w:val="20"/>
          <w:szCs w:val="20"/>
        </w:rPr>
        <w:t>Załącznik nr 2</w:t>
      </w:r>
    </w:p>
    <w:p w14:paraId="4848E013" w14:textId="58C5B9BA" w:rsidR="0039734C" w:rsidRDefault="008C5D48">
      <w:pPr>
        <w:spacing w:before="60" w:after="60"/>
        <w:jc w:val="center"/>
        <w:rPr>
          <w:rFonts w:ascii="Times New Roman" w:hAnsi="Times New Roman" w:cs="Times New Roman"/>
          <w:sz w:val="20"/>
          <w:szCs w:val="20"/>
        </w:rPr>
      </w:pPr>
      <w:r>
        <w:rPr>
          <w:rFonts w:ascii="Times New Roman" w:hAnsi="Times New Roman" w:cs="Times New Roman"/>
          <w:sz w:val="20"/>
          <w:szCs w:val="20"/>
        </w:rPr>
        <w:t>SZCZEGÓŁOWY OPIS PRZEDMIOTU ZAMÓWIENIA – SPECYFIKACJA TECHNICZNA</w:t>
      </w:r>
    </w:p>
    <w:p w14:paraId="2EC908C7" w14:textId="77777777" w:rsidR="00E0543B" w:rsidRDefault="004721D4" w:rsidP="00E0543B">
      <w:pPr>
        <w:spacing w:before="60" w:after="60"/>
        <w:jc w:val="center"/>
        <w:rPr>
          <w:rFonts w:ascii="Times New Roman" w:hAnsi="Times New Roman" w:cs="Times New Roman"/>
          <w:b/>
          <w:szCs w:val="20"/>
        </w:rPr>
      </w:pPr>
      <w:r w:rsidRPr="004721D4">
        <w:rPr>
          <w:rFonts w:ascii="Times New Roman" w:hAnsi="Times New Roman" w:cs="Times New Roman"/>
          <w:b/>
          <w:szCs w:val="20"/>
        </w:rPr>
        <w:t>Sukcesywna dostawa serwerów przechowywania danych obiektowych</w:t>
      </w:r>
    </w:p>
    <w:p w14:paraId="716285E5" w14:textId="77777777" w:rsidR="004721D4" w:rsidRDefault="004721D4" w:rsidP="00E0543B">
      <w:pPr>
        <w:spacing w:before="60" w:after="60"/>
        <w:jc w:val="center"/>
        <w:rPr>
          <w:rFonts w:ascii="Times New Roman" w:hAnsi="Times New Roman" w:cs="Times New Roman"/>
          <w:b/>
          <w:sz w:val="20"/>
          <w:szCs w:val="20"/>
        </w:rPr>
      </w:pPr>
    </w:p>
    <w:p w14:paraId="6BB78698" w14:textId="77777777" w:rsidR="00E0543B" w:rsidRDefault="00E0543B" w:rsidP="00E0543B">
      <w:pPr>
        <w:pStyle w:val="Akapitzlist"/>
        <w:numPr>
          <w:ilvl w:val="0"/>
          <w:numId w:val="4"/>
        </w:numPr>
        <w:spacing w:before="60" w:after="60"/>
        <w:rPr>
          <w:rFonts w:ascii="Times New Roman" w:hAnsi="Times New Roman" w:cs="Times New Roman"/>
          <w:sz w:val="20"/>
          <w:szCs w:val="20"/>
        </w:rPr>
      </w:pPr>
      <w:r w:rsidRPr="00E0543B">
        <w:rPr>
          <w:rFonts w:ascii="Times New Roman" w:hAnsi="Times New Roman" w:cs="Times New Roman"/>
          <w:sz w:val="20"/>
          <w:szCs w:val="20"/>
        </w:rPr>
        <w:t>Ogólne wymagania</w:t>
      </w:r>
    </w:p>
    <w:p w14:paraId="7AB35E57" w14:textId="77777777" w:rsidR="004721D4" w:rsidRDefault="004721D4" w:rsidP="004721D4">
      <w:pPr>
        <w:pStyle w:val="Akapitzlist"/>
        <w:numPr>
          <w:ilvl w:val="1"/>
          <w:numId w:val="4"/>
        </w:numPr>
        <w:spacing w:before="60" w:after="60"/>
        <w:rPr>
          <w:rFonts w:ascii="Times New Roman" w:hAnsi="Times New Roman" w:cs="Times New Roman"/>
          <w:sz w:val="20"/>
          <w:szCs w:val="20"/>
        </w:rPr>
      </w:pPr>
      <w:r>
        <w:rPr>
          <w:rFonts w:ascii="Times New Roman" w:hAnsi="Times New Roman" w:cs="Times New Roman"/>
          <w:sz w:val="20"/>
          <w:szCs w:val="20"/>
        </w:rPr>
        <w:t>Rozwiązanie posiadane przez Zamawiającego</w:t>
      </w:r>
    </w:p>
    <w:p w14:paraId="4E3729D0" w14:textId="77777777" w:rsidR="004721D4" w:rsidRDefault="004721D4" w:rsidP="004721D4">
      <w:pPr>
        <w:pStyle w:val="Akapitzlist"/>
        <w:numPr>
          <w:ilvl w:val="2"/>
          <w:numId w:val="4"/>
        </w:numPr>
        <w:spacing w:before="60" w:after="60"/>
        <w:rPr>
          <w:rFonts w:ascii="Times New Roman" w:hAnsi="Times New Roman" w:cs="Times New Roman"/>
          <w:sz w:val="20"/>
          <w:szCs w:val="20"/>
        </w:rPr>
      </w:pPr>
      <w:r w:rsidRPr="004721D4">
        <w:rPr>
          <w:rFonts w:ascii="Times New Roman" w:hAnsi="Times New Roman" w:cs="Times New Roman"/>
          <w:sz w:val="20"/>
          <w:szCs w:val="20"/>
        </w:rPr>
        <w:t xml:space="preserve">Zamawiający posiada system składowania danych obiektowych (Klaster </w:t>
      </w:r>
      <w:r>
        <w:rPr>
          <w:rFonts w:ascii="Times New Roman" w:hAnsi="Times New Roman" w:cs="Times New Roman"/>
          <w:sz w:val="20"/>
          <w:szCs w:val="20"/>
        </w:rPr>
        <w:t xml:space="preserve">Hitachi </w:t>
      </w:r>
      <w:r w:rsidRPr="004721D4">
        <w:rPr>
          <w:rFonts w:ascii="Times New Roman" w:hAnsi="Times New Roman" w:cs="Times New Roman"/>
          <w:sz w:val="20"/>
          <w:szCs w:val="20"/>
        </w:rPr>
        <w:t xml:space="preserve">HCP), pracujący w dwóch </w:t>
      </w:r>
      <w:r>
        <w:rPr>
          <w:rFonts w:ascii="Times New Roman" w:hAnsi="Times New Roman" w:cs="Times New Roman"/>
          <w:sz w:val="20"/>
          <w:szCs w:val="20"/>
        </w:rPr>
        <w:t xml:space="preserve">geograficznie oddzielonych </w:t>
      </w:r>
      <w:r w:rsidRPr="004721D4">
        <w:rPr>
          <w:rFonts w:ascii="Times New Roman" w:hAnsi="Times New Roman" w:cs="Times New Roman"/>
          <w:sz w:val="20"/>
          <w:szCs w:val="20"/>
        </w:rPr>
        <w:t>lokalizacjach</w:t>
      </w:r>
      <w:r>
        <w:rPr>
          <w:rFonts w:ascii="Times New Roman" w:hAnsi="Times New Roman" w:cs="Times New Roman"/>
          <w:sz w:val="20"/>
          <w:szCs w:val="20"/>
        </w:rPr>
        <w:t>.</w:t>
      </w:r>
    </w:p>
    <w:p w14:paraId="354BF44B" w14:textId="77777777" w:rsidR="004721D4" w:rsidRDefault="004721D4" w:rsidP="004721D4">
      <w:pPr>
        <w:pStyle w:val="Akapitzlist"/>
        <w:numPr>
          <w:ilvl w:val="2"/>
          <w:numId w:val="4"/>
        </w:numPr>
        <w:spacing w:before="60" w:after="60"/>
        <w:rPr>
          <w:rFonts w:ascii="Times New Roman" w:hAnsi="Times New Roman" w:cs="Times New Roman"/>
          <w:sz w:val="20"/>
          <w:szCs w:val="20"/>
        </w:rPr>
      </w:pPr>
      <w:r w:rsidRPr="004721D4">
        <w:rPr>
          <w:rFonts w:ascii="Times New Roman" w:hAnsi="Times New Roman" w:cs="Times New Roman"/>
          <w:sz w:val="20"/>
          <w:szCs w:val="20"/>
        </w:rPr>
        <w:t>Obecnie eksploatowane urządzenia zidentyfikowane są numerami seryjnymi: 41339 oraz 41427.</w:t>
      </w:r>
    </w:p>
    <w:p w14:paraId="3DE7B205" w14:textId="77777777" w:rsidR="004721D4" w:rsidRDefault="004721D4" w:rsidP="004721D4">
      <w:pPr>
        <w:pStyle w:val="Akapitzlist"/>
        <w:numPr>
          <w:ilvl w:val="2"/>
          <w:numId w:val="4"/>
        </w:numPr>
        <w:spacing w:before="60" w:after="60"/>
        <w:rPr>
          <w:rFonts w:ascii="Times New Roman" w:hAnsi="Times New Roman" w:cs="Times New Roman"/>
          <w:sz w:val="20"/>
          <w:szCs w:val="20"/>
        </w:rPr>
      </w:pPr>
      <w:r w:rsidRPr="004721D4">
        <w:rPr>
          <w:rFonts w:ascii="Times New Roman" w:hAnsi="Times New Roman" w:cs="Times New Roman"/>
          <w:sz w:val="20"/>
          <w:szCs w:val="20"/>
        </w:rPr>
        <w:t>System ten pełni funkcję Bezpiecznego magazynu WORM (wsparcie producenta dla obecnej konfiguracji określone jest do 31 maja 2029 r.).</w:t>
      </w:r>
    </w:p>
    <w:p w14:paraId="7CA53C4F" w14:textId="77777777" w:rsidR="00E641DA" w:rsidRDefault="00E641DA" w:rsidP="00E641DA">
      <w:pPr>
        <w:pStyle w:val="Akapitzlist"/>
        <w:numPr>
          <w:ilvl w:val="1"/>
          <w:numId w:val="4"/>
        </w:numPr>
        <w:spacing w:before="60" w:after="60"/>
        <w:rPr>
          <w:rFonts w:ascii="Times New Roman" w:hAnsi="Times New Roman" w:cs="Times New Roman"/>
          <w:sz w:val="20"/>
          <w:szCs w:val="20"/>
        </w:rPr>
      </w:pPr>
      <w:r>
        <w:rPr>
          <w:rFonts w:ascii="Times New Roman" w:hAnsi="Times New Roman" w:cs="Times New Roman"/>
          <w:sz w:val="20"/>
          <w:szCs w:val="20"/>
        </w:rPr>
        <w:t>Wymagania dotyczące</w:t>
      </w:r>
      <w:r w:rsidR="00116624">
        <w:rPr>
          <w:rFonts w:ascii="Times New Roman" w:hAnsi="Times New Roman" w:cs="Times New Roman"/>
          <w:sz w:val="20"/>
          <w:szCs w:val="20"/>
        </w:rPr>
        <w:t xml:space="preserve"> dostawy i</w:t>
      </w:r>
      <w:r>
        <w:rPr>
          <w:rFonts w:ascii="Times New Roman" w:hAnsi="Times New Roman" w:cs="Times New Roman"/>
          <w:sz w:val="20"/>
          <w:szCs w:val="20"/>
        </w:rPr>
        <w:t xml:space="preserve"> integracji dostarczanych serwerów z posiadanym systemem:</w:t>
      </w:r>
    </w:p>
    <w:p w14:paraId="6A07A260" w14:textId="77777777" w:rsidR="00E641DA" w:rsidRDefault="00E641DA" w:rsidP="00E641DA">
      <w:pPr>
        <w:pStyle w:val="Akapitzlist"/>
        <w:numPr>
          <w:ilvl w:val="2"/>
          <w:numId w:val="4"/>
        </w:numPr>
        <w:spacing w:before="60" w:after="60"/>
        <w:rPr>
          <w:rFonts w:ascii="Times New Roman" w:hAnsi="Times New Roman" w:cs="Times New Roman"/>
          <w:sz w:val="20"/>
          <w:szCs w:val="20"/>
        </w:rPr>
      </w:pPr>
      <w:r>
        <w:rPr>
          <w:rFonts w:ascii="Times New Roman" w:hAnsi="Times New Roman" w:cs="Times New Roman"/>
          <w:sz w:val="20"/>
          <w:szCs w:val="20"/>
        </w:rPr>
        <w:t xml:space="preserve"> Przedmiotem postępowania jest rozbudowa posiadanego przez Zamawiającego rozwiązania o dodatkowe elementy zwiększające dostępnej pojemność przechowywania danych.</w:t>
      </w:r>
    </w:p>
    <w:p w14:paraId="41ED2A7F" w14:textId="77777777" w:rsidR="00E641DA" w:rsidRDefault="00E641DA" w:rsidP="00E641DA">
      <w:pPr>
        <w:pStyle w:val="Akapitzlist"/>
        <w:numPr>
          <w:ilvl w:val="2"/>
          <w:numId w:val="4"/>
        </w:numPr>
        <w:rPr>
          <w:rFonts w:ascii="Times New Roman" w:hAnsi="Times New Roman" w:cs="Times New Roman"/>
          <w:sz w:val="20"/>
          <w:szCs w:val="20"/>
        </w:rPr>
      </w:pPr>
      <w:r w:rsidRPr="00E641DA">
        <w:rPr>
          <w:rFonts w:ascii="Times New Roman" w:hAnsi="Times New Roman" w:cs="Times New Roman"/>
          <w:sz w:val="20"/>
          <w:szCs w:val="20"/>
        </w:rPr>
        <w:t>Dostawca powinien dostarczyć wymagane licencje na dodatkową przestrzeń w ramach platformy Hitachi Content Platform</w:t>
      </w:r>
    </w:p>
    <w:p w14:paraId="42841A03" w14:textId="77777777" w:rsidR="00B31CA3" w:rsidRPr="00E641DA" w:rsidRDefault="00B31CA3" w:rsidP="00E641DA">
      <w:pPr>
        <w:pStyle w:val="Akapitzlist"/>
        <w:numPr>
          <w:ilvl w:val="2"/>
          <w:numId w:val="4"/>
        </w:numPr>
        <w:rPr>
          <w:rFonts w:ascii="Times New Roman" w:hAnsi="Times New Roman" w:cs="Times New Roman"/>
          <w:sz w:val="20"/>
          <w:szCs w:val="20"/>
        </w:rPr>
      </w:pPr>
      <w:r>
        <w:rPr>
          <w:rFonts w:ascii="Times New Roman" w:hAnsi="Times New Roman" w:cs="Times New Roman"/>
          <w:sz w:val="20"/>
          <w:szCs w:val="20"/>
        </w:rPr>
        <w:t>Docelowa konfiguracja całego rozwiązania mu</w:t>
      </w:r>
    </w:p>
    <w:p w14:paraId="60E6B0B1" w14:textId="77777777" w:rsidR="00E641DA" w:rsidRPr="00E641DA" w:rsidRDefault="00E641DA" w:rsidP="00E641DA">
      <w:pPr>
        <w:pStyle w:val="Akapitzlist"/>
        <w:numPr>
          <w:ilvl w:val="2"/>
          <w:numId w:val="4"/>
        </w:numPr>
        <w:rPr>
          <w:rFonts w:ascii="Times New Roman" w:hAnsi="Times New Roman" w:cs="Times New Roman"/>
          <w:sz w:val="20"/>
          <w:szCs w:val="20"/>
        </w:rPr>
      </w:pPr>
      <w:r w:rsidRPr="00E641DA">
        <w:rPr>
          <w:rFonts w:ascii="Times New Roman" w:hAnsi="Times New Roman" w:cs="Times New Roman"/>
          <w:sz w:val="20"/>
          <w:szCs w:val="20"/>
        </w:rPr>
        <w:t xml:space="preserve">Dostarczane rozwiązanie musi być produktem rozpoznawalnym na rynku, co oznacza, że powinno być wymieniane w raportach niezależnych organizacji, takich jak Gartner, IDC, Gigaom lub ESG (Enterprise </w:t>
      </w:r>
      <w:proofErr w:type="spellStart"/>
      <w:r w:rsidRPr="00E641DA">
        <w:rPr>
          <w:rFonts w:ascii="Times New Roman" w:hAnsi="Times New Roman" w:cs="Times New Roman"/>
          <w:sz w:val="20"/>
          <w:szCs w:val="20"/>
        </w:rPr>
        <w:t>Strategy</w:t>
      </w:r>
      <w:proofErr w:type="spellEnd"/>
      <w:r w:rsidRPr="00E641DA">
        <w:rPr>
          <w:rFonts w:ascii="Times New Roman" w:hAnsi="Times New Roman" w:cs="Times New Roman"/>
          <w:sz w:val="20"/>
          <w:szCs w:val="20"/>
        </w:rPr>
        <w:t xml:space="preserve"> </w:t>
      </w:r>
      <w:proofErr w:type="spellStart"/>
      <w:r w:rsidRPr="00E641DA">
        <w:rPr>
          <w:rFonts w:ascii="Times New Roman" w:hAnsi="Times New Roman" w:cs="Times New Roman"/>
          <w:sz w:val="20"/>
          <w:szCs w:val="20"/>
        </w:rPr>
        <w:t>Group</w:t>
      </w:r>
      <w:proofErr w:type="spellEnd"/>
      <w:r w:rsidRPr="00E641DA">
        <w:rPr>
          <w:rFonts w:ascii="Times New Roman" w:hAnsi="Times New Roman" w:cs="Times New Roman"/>
          <w:sz w:val="20"/>
          <w:szCs w:val="20"/>
        </w:rPr>
        <w:t xml:space="preserve">). </w:t>
      </w:r>
    </w:p>
    <w:p w14:paraId="0D155AB5" w14:textId="77777777" w:rsidR="00E641DA" w:rsidRPr="00E641DA" w:rsidRDefault="00E641DA" w:rsidP="00E641DA">
      <w:pPr>
        <w:pStyle w:val="Akapitzlist"/>
        <w:numPr>
          <w:ilvl w:val="2"/>
          <w:numId w:val="4"/>
        </w:numPr>
        <w:rPr>
          <w:rFonts w:ascii="Times New Roman" w:hAnsi="Times New Roman" w:cs="Times New Roman"/>
          <w:sz w:val="20"/>
          <w:szCs w:val="20"/>
        </w:rPr>
      </w:pPr>
      <w:r w:rsidRPr="00E641DA">
        <w:rPr>
          <w:rFonts w:ascii="Times New Roman" w:hAnsi="Times New Roman" w:cs="Times New Roman"/>
          <w:sz w:val="20"/>
          <w:szCs w:val="20"/>
        </w:rPr>
        <w:t>Dostarczane rozwiązanie obiektowego magazynu dokumentów musi być obecne na rynku od co najmniej 3 lat.</w:t>
      </w:r>
    </w:p>
    <w:p w14:paraId="07459485" w14:textId="77777777" w:rsidR="00E641DA" w:rsidRPr="00E641DA" w:rsidRDefault="00E641DA" w:rsidP="00E641DA">
      <w:pPr>
        <w:pStyle w:val="Akapitzlist"/>
        <w:numPr>
          <w:ilvl w:val="2"/>
          <w:numId w:val="4"/>
        </w:numPr>
        <w:rPr>
          <w:rFonts w:ascii="Times New Roman" w:hAnsi="Times New Roman" w:cs="Times New Roman"/>
          <w:sz w:val="20"/>
          <w:szCs w:val="20"/>
        </w:rPr>
      </w:pPr>
      <w:r w:rsidRPr="00E641DA">
        <w:rPr>
          <w:rFonts w:ascii="Times New Roman" w:hAnsi="Times New Roman" w:cs="Times New Roman"/>
          <w:sz w:val="20"/>
          <w:szCs w:val="20"/>
        </w:rPr>
        <w:t>Oferowane rozwiązanie musi być produktem gotowym, posiadającym na moment składania oferty wszystkie wymagane przez Zamawiającego funkcjonalności. Do oferty należy załączyć listę wszystkich komponentów urządzenia. Lista ma zawierać co najmniej nazwy urządzeń, modeli oraz inne informacje pozwalające w sposób jednoznaczny zidentyfikować poszczególne komponenty sprzętowe i programowe.</w:t>
      </w:r>
    </w:p>
    <w:p w14:paraId="135F5FBA" w14:textId="77777777" w:rsidR="00E641DA" w:rsidRDefault="00E641DA" w:rsidP="00E641DA">
      <w:pPr>
        <w:pStyle w:val="Akapitzlist"/>
        <w:numPr>
          <w:ilvl w:val="2"/>
          <w:numId w:val="4"/>
        </w:numPr>
        <w:spacing w:before="60" w:after="60"/>
        <w:rPr>
          <w:rFonts w:ascii="Times New Roman" w:hAnsi="Times New Roman" w:cs="Times New Roman"/>
          <w:sz w:val="20"/>
          <w:szCs w:val="20"/>
        </w:rPr>
      </w:pPr>
      <w:r w:rsidRPr="00E641DA">
        <w:rPr>
          <w:rFonts w:ascii="Times New Roman" w:hAnsi="Times New Roman" w:cs="Times New Roman"/>
          <w:sz w:val="20"/>
          <w:szCs w:val="20"/>
        </w:rPr>
        <w:t>Oferowane urządzenia i wszystkie jego elementy składowe muszą być fabrycznie nowe i wyprodukowane nie wcześniej niż pół roku przed terminem dostawy do Zamawiającego.</w:t>
      </w:r>
    </w:p>
    <w:p w14:paraId="4CE818E5" w14:textId="77777777" w:rsidR="00E641DA" w:rsidRDefault="00E641DA" w:rsidP="00E641DA">
      <w:pPr>
        <w:pStyle w:val="Akapitzlist"/>
        <w:numPr>
          <w:ilvl w:val="2"/>
          <w:numId w:val="4"/>
        </w:numPr>
        <w:spacing w:before="60" w:after="60"/>
        <w:rPr>
          <w:rFonts w:ascii="Times New Roman" w:hAnsi="Times New Roman" w:cs="Times New Roman"/>
          <w:sz w:val="20"/>
          <w:szCs w:val="20"/>
        </w:rPr>
      </w:pPr>
      <w:r w:rsidRPr="00E641DA">
        <w:rPr>
          <w:rFonts w:ascii="Times New Roman" w:hAnsi="Times New Roman" w:cs="Times New Roman"/>
          <w:sz w:val="20"/>
          <w:szCs w:val="20"/>
        </w:rPr>
        <w:t xml:space="preserve">Dostarczony sprzęt musi być zakupiony w oficjalnym kanale sprzedaży producenta. </w:t>
      </w:r>
    </w:p>
    <w:p w14:paraId="7F0FD71D" w14:textId="77777777" w:rsidR="00E641DA" w:rsidRPr="00E641DA" w:rsidRDefault="00E641DA" w:rsidP="00E641DA">
      <w:pPr>
        <w:pStyle w:val="Akapitzlist"/>
        <w:numPr>
          <w:ilvl w:val="2"/>
          <w:numId w:val="4"/>
        </w:numPr>
        <w:spacing w:before="60" w:after="60"/>
        <w:rPr>
          <w:rFonts w:ascii="Times New Roman" w:hAnsi="Times New Roman" w:cs="Times New Roman"/>
          <w:sz w:val="20"/>
          <w:szCs w:val="20"/>
        </w:rPr>
      </w:pPr>
      <w:r w:rsidRPr="00E641DA">
        <w:rPr>
          <w:rFonts w:ascii="Times New Roman" w:hAnsi="Times New Roman" w:cs="Times New Roman"/>
          <w:sz w:val="20"/>
          <w:szCs w:val="20"/>
        </w:rPr>
        <w:t>Oferowane urządzenia i wszystkie jego elementy muszą pochodzić od autoryzowanego dostawcy producenta.</w:t>
      </w:r>
    </w:p>
    <w:p w14:paraId="1DBC7025" w14:textId="77777777" w:rsidR="00E641DA" w:rsidRPr="00E641DA" w:rsidRDefault="00E641DA" w:rsidP="00E641DA">
      <w:pPr>
        <w:pStyle w:val="Akapitzlist"/>
        <w:numPr>
          <w:ilvl w:val="2"/>
          <w:numId w:val="4"/>
        </w:numPr>
        <w:spacing w:before="60" w:after="60"/>
        <w:rPr>
          <w:rFonts w:ascii="Times New Roman" w:hAnsi="Times New Roman" w:cs="Times New Roman"/>
          <w:sz w:val="20"/>
          <w:szCs w:val="20"/>
        </w:rPr>
      </w:pPr>
      <w:r w:rsidRPr="00E641DA">
        <w:rPr>
          <w:rFonts w:ascii="Times New Roman" w:hAnsi="Times New Roman" w:cs="Times New Roman"/>
          <w:sz w:val="20"/>
          <w:szCs w:val="20"/>
        </w:rPr>
        <w:t>Urządzenia muszą być oznakowane przez producenta w taki sposób, aby możliwa była identyfikacja zarówno produktu jak i producenta.</w:t>
      </w:r>
    </w:p>
    <w:p w14:paraId="6126F19D" w14:textId="77777777" w:rsidR="00E641DA" w:rsidRPr="00E641DA" w:rsidRDefault="00E641DA" w:rsidP="00E641DA">
      <w:pPr>
        <w:pStyle w:val="Akapitzlist"/>
        <w:numPr>
          <w:ilvl w:val="2"/>
          <w:numId w:val="4"/>
        </w:numPr>
        <w:spacing w:before="60" w:after="60"/>
        <w:rPr>
          <w:rFonts w:ascii="Times New Roman" w:hAnsi="Times New Roman" w:cs="Times New Roman"/>
          <w:sz w:val="20"/>
          <w:szCs w:val="20"/>
        </w:rPr>
      </w:pPr>
      <w:r w:rsidRPr="00E641DA">
        <w:rPr>
          <w:rFonts w:ascii="Times New Roman" w:hAnsi="Times New Roman" w:cs="Times New Roman"/>
          <w:sz w:val="20"/>
          <w:szCs w:val="20"/>
        </w:rPr>
        <w:t>Wraz z rozwiązaniem musi być dostarczony komplet dokumentacji w formie papierowej lub elektronicznej. Dokumentacja papierowa powinna być czytelna. Zamawiający dopuszcza dostawę dokumentacji producenta rozwiązania w językach polskim lub angielskim.</w:t>
      </w:r>
    </w:p>
    <w:p w14:paraId="2E0FFA63" w14:textId="77777777" w:rsidR="00116624" w:rsidRPr="00116624" w:rsidRDefault="00116624" w:rsidP="00116624">
      <w:pPr>
        <w:pStyle w:val="Akapitzlist"/>
        <w:numPr>
          <w:ilvl w:val="2"/>
          <w:numId w:val="4"/>
        </w:numPr>
        <w:rPr>
          <w:rFonts w:ascii="Times New Roman" w:hAnsi="Times New Roman" w:cs="Times New Roman"/>
          <w:sz w:val="20"/>
          <w:szCs w:val="20"/>
        </w:rPr>
      </w:pPr>
      <w:r w:rsidRPr="00116624">
        <w:rPr>
          <w:rFonts w:ascii="Times New Roman" w:hAnsi="Times New Roman" w:cs="Times New Roman"/>
          <w:sz w:val="20"/>
          <w:szCs w:val="20"/>
        </w:rPr>
        <w:t>Rozwiązanie musi mieć możliwość podłączenia go do centrum serwisowego producenta, w celu zdalnego monitorowania poprawności funkcjonowania komponentów rozwiązania.</w:t>
      </w:r>
    </w:p>
    <w:p w14:paraId="36058673" w14:textId="77777777" w:rsidR="00116624" w:rsidRPr="00116624" w:rsidRDefault="00116624" w:rsidP="00116624">
      <w:pPr>
        <w:pStyle w:val="Akapitzlist"/>
        <w:numPr>
          <w:ilvl w:val="1"/>
          <w:numId w:val="4"/>
        </w:numPr>
        <w:rPr>
          <w:rFonts w:ascii="Times New Roman" w:hAnsi="Times New Roman" w:cs="Times New Roman"/>
          <w:sz w:val="20"/>
          <w:szCs w:val="20"/>
        </w:rPr>
      </w:pPr>
      <w:r w:rsidRPr="00116624">
        <w:rPr>
          <w:rFonts w:ascii="Times New Roman" w:hAnsi="Times New Roman" w:cs="Times New Roman"/>
          <w:sz w:val="20"/>
          <w:szCs w:val="20"/>
        </w:rPr>
        <w:t>Wymagania dotyczące skalowalności, budowy i architektury obiektowego systemu składowania dokumentów</w:t>
      </w:r>
      <w:r>
        <w:rPr>
          <w:rFonts w:ascii="Times New Roman" w:hAnsi="Times New Roman" w:cs="Times New Roman"/>
          <w:sz w:val="20"/>
          <w:szCs w:val="20"/>
        </w:rPr>
        <w:t>:</w:t>
      </w:r>
    </w:p>
    <w:p w14:paraId="0D03C57E"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Wszystkie elementy dostarczonego rozwiązania muszą być redundantne, a jego architektura musi zapewniać odporność na wystąpienie pojedynczego punktu awarii w obrębie poszczególnych grup elementów, to jest co najmniej: interfejsów dostępowych kontrolerów, serwerów, zasilaczy, wentylatorów, dysków. Odporność na awarię oznacza, że dostęp do urządzenia oraz do składowanych na nim danych musi być realizowany bez przerywania pracy korzystającej z niego aplikacji/systemu, zapewniając możliwość odczytów wszystkich składowanych danych oraz wykonywania zapisów na urządzenie nawet</w:t>
      </w:r>
      <w:r>
        <w:rPr>
          <w:rFonts w:ascii="Times New Roman" w:hAnsi="Times New Roman" w:cs="Times New Roman"/>
          <w:sz w:val="20"/>
          <w:szCs w:val="20"/>
        </w:rPr>
        <w:t xml:space="preserve"> </w:t>
      </w:r>
      <w:r w:rsidRPr="00116624">
        <w:rPr>
          <w:rFonts w:ascii="Times New Roman" w:hAnsi="Times New Roman" w:cs="Times New Roman"/>
          <w:sz w:val="20"/>
          <w:szCs w:val="20"/>
        </w:rPr>
        <w:t>w przypadku awarii lub wymiany pojedynczego elementu urządzenia z ww. grup urządzeń.</w:t>
      </w:r>
    </w:p>
    <w:p w14:paraId="64BC32D6"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lastRenderedPageBreak/>
        <w:t>Architektura rozwiązania musi zapewniać umieszczenie interfejsów dostępowych i dyskowych wewnątrz wszystkich węzłów klastra, realizujących funkcję obiektowego systemu składowania dokumentów.</w:t>
      </w:r>
    </w:p>
    <w:p w14:paraId="22F72132"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Rozwiązanie musi posiadać możliwość pracy zarówno w architekturze, w której węzły klastra HA korzystają z przestrzeni dyskowej zainstalowanej w blokowej macierzy dyskowej (</w:t>
      </w:r>
      <w:proofErr w:type="spellStart"/>
      <w:r w:rsidRPr="00116624">
        <w:rPr>
          <w:rFonts w:ascii="Times New Roman" w:hAnsi="Times New Roman" w:cs="Times New Roman"/>
          <w:sz w:val="20"/>
          <w:szCs w:val="20"/>
        </w:rPr>
        <w:t>scale-up</w:t>
      </w:r>
      <w:proofErr w:type="spellEnd"/>
      <w:r w:rsidRPr="00116624">
        <w:rPr>
          <w:rFonts w:ascii="Times New Roman" w:hAnsi="Times New Roman" w:cs="Times New Roman"/>
          <w:sz w:val="20"/>
          <w:szCs w:val="20"/>
        </w:rPr>
        <w:t>, SAIN), jak i w architekturze, w której przestrzeń dyskowa jest dostarczana na dyskach zainstalowanych wewnątrz węzłów klastra (</w:t>
      </w:r>
      <w:proofErr w:type="spellStart"/>
      <w:r w:rsidRPr="00116624">
        <w:rPr>
          <w:rFonts w:ascii="Times New Roman" w:hAnsi="Times New Roman" w:cs="Times New Roman"/>
          <w:sz w:val="20"/>
          <w:szCs w:val="20"/>
        </w:rPr>
        <w:t>scale</w:t>
      </w:r>
      <w:proofErr w:type="spellEnd"/>
      <w:r w:rsidRPr="00116624">
        <w:rPr>
          <w:rFonts w:ascii="Times New Roman" w:hAnsi="Times New Roman" w:cs="Times New Roman"/>
          <w:sz w:val="20"/>
          <w:szCs w:val="20"/>
        </w:rPr>
        <w:t>-out, RAIN).</w:t>
      </w:r>
    </w:p>
    <w:p w14:paraId="7DC152C0"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Architektura dostarczonego rozwiązania dla</w:t>
      </w:r>
      <w:r>
        <w:rPr>
          <w:rFonts w:ascii="Times New Roman" w:hAnsi="Times New Roman" w:cs="Times New Roman"/>
          <w:sz w:val="20"/>
          <w:szCs w:val="20"/>
        </w:rPr>
        <w:t xml:space="preserve"> musi</w:t>
      </w:r>
      <w:r w:rsidRPr="00116624">
        <w:rPr>
          <w:rFonts w:ascii="Times New Roman" w:hAnsi="Times New Roman" w:cs="Times New Roman"/>
          <w:sz w:val="20"/>
          <w:szCs w:val="20"/>
        </w:rPr>
        <w:t xml:space="preserve"> uwzględniać: </w:t>
      </w:r>
    </w:p>
    <w:p w14:paraId="7C909CE9" w14:textId="77777777" w:rsidR="00116624" w:rsidRPr="00116624" w:rsidRDefault="00116624" w:rsidP="00116624">
      <w:pPr>
        <w:pStyle w:val="Akapitzlist"/>
        <w:numPr>
          <w:ilvl w:val="3"/>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 xml:space="preserve">dedykowane węzły dla realizacji funkcji dostępu do obiektowego magazynu składowania danych oraz przechowywania metadanych </w:t>
      </w:r>
    </w:p>
    <w:p w14:paraId="52E09EF0" w14:textId="77777777" w:rsidR="00116624" w:rsidRPr="00116624" w:rsidRDefault="00116624" w:rsidP="00116624">
      <w:pPr>
        <w:pStyle w:val="Akapitzlist"/>
        <w:numPr>
          <w:ilvl w:val="3"/>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i danych najczęściej używanych muszą być zbudowane z dysków SSD.</w:t>
      </w:r>
    </w:p>
    <w:p w14:paraId="0E3E469D" w14:textId="77777777" w:rsidR="00116624" w:rsidRPr="00116624" w:rsidRDefault="00116624" w:rsidP="00116624">
      <w:pPr>
        <w:pStyle w:val="Akapitzlist"/>
        <w:numPr>
          <w:ilvl w:val="3"/>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 xml:space="preserve">możliwość rozbudowy o dedykowane węzły dla realizacji funkcji przechowywania danych w obiektowym magazynie składowania danych muszą być zbudowane z minimum 2 półek dyskowych dla dysków NLSAS. </w:t>
      </w:r>
    </w:p>
    <w:p w14:paraId="0627BE52"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Wszystkie elementy opisanej powyżej architektury muszą być ze sobą zintegrowane w taki sposób, aby zapewnić automatyczny przepływ danych pomiędzy różnymi warstwami architektury.</w:t>
      </w:r>
    </w:p>
    <w:p w14:paraId="3DBCF5A1"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 xml:space="preserve">Dostarczone rozwiązanie </w:t>
      </w:r>
      <w:r>
        <w:rPr>
          <w:rFonts w:ascii="Times New Roman" w:hAnsi="Times New Roman" w:cs="Times New Roman"/>
          <w:sz w:val="20"/>
          <w:szCs w:val="20"/>
        </w:rPr>
        <w:t>musi</w:t>
      </w:r>
      <w:r w:rsidRPr="00116624">
        <w:rPr>
          <w:rFonts w:ascii="Times New Roman" w:hAnsi="Times New Roman" w:cs="Times New Roman"/>
          <w:sz w:val="20"/>
          <w:szCs w:val="20"/>
        </w:rPr>
        <w:t xml:space="preserve"> umożliwiać rozbudowę do co najmniej 500PB przestrzeni bez konieczności zatrzymywania pracy rozwiązania i bez przerywania dostępu do danych.</w:t>
      </w:r>
    </w:p>
    <w:p w14:paraId="1527F0EA"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Dostarczone rozwiązanie</w:t>
      </w:r>
      <w:r>
        <w:rPr>
          <w:rFonts w:ascii="Times New Roman" w:hAnsi="Times New Roman" w:cs="Times New Roman"/>
          <w:sz w:val="20"/>
          <w:szCs w:val="20"/>
        </w:rPr>
        <w:t xml:space="preserve"> musi</w:t>
      </w:r>
      <w:r w:rsidRPr="00116624">
        <w:rPr>
          <w:rFonts w:ascii="Times New Roman" w:hAnsi="Times New Roman" w:cs="Times New Roman"/>
          <w:sz w:val="20"/>
          <w:szCs w:val="20"/>
        </w:rPr>
        <w:t xml:space="preserve"> umożliwiać rozbudowę do co najmniej 80 węzłów dostępowych oraz 80 węzłów przechowywania danych. </w:t>
      </w:r>
    </w:p>
    <w:p w14:paraId="3852092A"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Przestrzeń dyskowa w dostarczonym rozwiązaniu musi w każdym ośrodku zostać dostarczona w węzłach dostępowych. Musi istnieć możliwość rozbudowy tej przestrzeni zarówno poprzez dodawanie węzłów dostępowych, jak i poprzez dodawanie węzłów przechowywania.</w:t>
      </w:r>
    </w:p>
    <w:p w14:paraId="3E366706"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Komunikacja pomiędzy węzłami klastra (wewnętrzna) musi być realizowana za pomocą interfejsów 10GbE. Wraz z rozwiązaniem należy dostarczyć redundantne przełączniki LAN dedykowane do obsługi wewnętrznej sieci klastra.</w:t>
      </w:r>
    </w:p>
    <w:p w14:paraId="481B380E"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 xml:space="preserve">Komunikacja na zewnątrz (czyli dostęp do rozwiązania) musi być realizowana za pomocą interfejsów 10GbE. </w:t>
      </w:r>
    </w:p>
    <w:p w14:paraId="574259FC"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Wykonawca zobowiązany jest do dostarczenia pełnego okablowania niezbędnego do uruchomienia systemu, a długość okablowania  musi zostać zatwierdzona przez Zamawiającego przed rozpoczęciem prac montażowych, w fazie przygotowania dokumentacji wykonawczej.</w:t>
      </w:r>
    </w:p>
    <w:p w14:paraId="2782FDC7"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Architektura rozwiązania dla środowiska produkcyjnego musi zapewniać możliwość elastycznej rozbudowy poprzez co najmniej:</w:t>
      </w:r>
    </w:p>
    <w:p w14:paraId="674E7DFA" w14:textId="77777777" w:rsidR="00116624" w:rsidRPr="00116624" w:rsidRDefault="00116624" w:rsidP="00116624">
      <w:pPr>
        <w:pStyle w:val="Akapitzlist"/>
        <w:numPr>
          <w:ilvl w:val="3"/>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dodawanie tylko przestrzeni dyskowej przy niezmienionej ilości węzłów dostępowych do obiektowego magazynu składowania danych.</w:t>
      </w:r>
    </w:p>
    <w:p w14:paraId="4943D2FC" w14:textId="77777777" w:rsidR="00116624" w:rsidRPr="00116624" w:rsidRDefault="00116624" w:rsidP="00116624">
      <w:pPr>
        <w:pStyle w:val="Akapitzlist"/>
        <w:numPr>
          <w:ilvl w:val="3"/>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dodawanie niezależnie węzłów dostępowych oraz węzłów przechowywania danych.</w:t>
      </w:r>
    </w:p>
    <w:p w14:paraId="4A01EE5B" w14:textId="77777777" w:rsidR="00E641DA" w:rsidRDefault="00116624" w:rsidP="00116624">
      <w:pPr>
        <w:pStyle w:val="Akapitzlist"/>
        <w:numPr>
          <w:ilvl w:val="3"/>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dodawania dysków do istniejących węzłów w klastrze.</w:t>
      </w:r>
    </w:p>
    <w:p w14:paraId="4721E69C" w14:textId="77777777" w:rsidR="00116624" w:rsidRPr="00116624" w:rsidRDefault="00116624" w:rsidP="00116624">
      <w:pPr>
        <w:pStyle w:val="Akapitzlist"/>
        <w:numPr>
          <w:ilvl w:val="1"/>
          <w:numId w:val="4"/>
        </w:numPr>
        <w:rPr>
          <w:rFonts w:ascii="Times New Roman" w:hAnsi="Times New Roman" w:cs="Times New Roman"/>
          <w:sz w:val="20"/>
          <w:szCs w:val="20"/>
        </w:rPr>
      </w:pPr>
      <w:r w:rsidRPr="00116624">
        <w:rPr>
          <w:rFonts w:ascii="Times New Roman" w:hAnsi="Times New Roman" w:cs="Times New Roman"/>
          <w:sz w:val="20"/>
          <w:szCs w:val="20"/>
        </w:rPr>
        <w:t>Wymagania dotyczące skalowalności, budowy i architektury obiektowego systemu składowania dokumentów</w:t>
      </w:r>
      <w:r>
        <w:rPr>
          <w:rFonts w:ascii="Times New Roman" w:hAnsi="Times New Roman" w:cs="Times New Roman"/>
          <w:sz w:val="20"/>
          <w:szCs w:val="20"/>
        </w:rPr>
        <w:t>:</w:t>
      </w:r>
    </w:p>
    <w:p w14:paraId="7A98C86F"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Dane w obiektowym magazynie danych muszą być składowane na napędach dyskowych. Nie dopuszcza się rozwiązań zbudowanych w oparciu o napędy taśmowe.</w:t>
      </w:r>
    </w:p>
    <w:p w14:paraId="524E3B64"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Dostarczone rozwiązanie musi posiadać wbudowane mechanizmy przechowywania zarówno danych, jak i metadanych (informacji opisujących dane). Nie dopuszcza się wykorzystania rozwiązań plikowych (NAS) jako warstwę przechowywania w systemie składowania danych.</w:t>
      </w:r>
    </w:p>
    <w:p w14:paraId="1E4948EA"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 xml:space="preserve">Rozwiązanie powinno posiadać możliwość integracji z aplikacjami za pomocą co najmniej następujących protokołów i interfejsów: HTTP, S3,REST API, </w:t>
      </w:r>
      <w:proofErr w:type="spellStart"/>
      <w:r w:rsidRPr="00116624">
        <w:rPr>
          <w:rFonts w:ascii="Times New Roman" w:hAnsi="Times New Roman" w:cs="Times New Roman"/>
          <w:sz w:val="20"/>
          <w:szCs w:val="20"/>
        </w:rPr>
        <w:t>WebDAV</w:t>
      </w:r>
      <w:proofErr w:type="spellEnd"/>
      <w:r w:rsidRPr="00116624">
        <w:rPr>
          <w:rFonts w:ascii="Times New Roman" w:hAnsi="Times New Roman" w:cs="Times New Roman"/>
          <w:sz w:val="20"/>
          <w:szCs w:val="20"/>
        </w:rPr>
        <w:t>, CIFS, NFS. Jeżeli wykorzystanie któregokolwiek z wymienionych protokołów i interfejsów wymaga zastosowania dodatkowej licencji lub oprogramowania, to należy je dostarczyć wraz z rozwiązaniem.</w:t>
      </w:r>
    </w:p>
    <w:p w14:paraId="7C7F0DD3"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Rozwiązanie powinno posiadać wbudowane mechanizmy protekcji danych, które gwarantują odczyt wszystkich składowanych danych w przypadku awarii pojedynczego, losowego komponentu architektury (dysku, karty sieciowej, przełącznika LAN, serwera i kontrolera urządzenia).</w:t>
      </w:r>
    </w:p>
    <w:p w14:paraId="3142492C"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lastRenderedPageBreak/>
        <w:t xml:space="preserve">W przypadku dysków Zamawiający wymaga, aby dostarczone rozwiązanie wykorzystywało następujące mechanizmy protekcji danych: RAID-6 lub </w:t>
      </w:r>
      <w:proofErr w:type="spellStart"/>
      <w:r w:rsidRPr="00116624">
        <w:rPr>
          <w:rFonts w:ascii="Times New Roman" w:hAnsi="Times New Roman" w:cs="Times New Roman"/>
          <w:sz w:val="20"/>
          <w:szCs w:val="20"/>
        </w:rPr>
        <w:t>Erasure</w:t>
      </w:r>
      <w:proofErr w:type="spellEnd"/>
      <w:r w:rsidRPr="00116624">
        <w:rPr>
          <w:rFonts w:ascii="Times New Roman" w:hAnsi="Times New Roman" w:cs="Times New Roman"/>
          <w:sz w:val="20"/>
          <w:szCs w:val="20"/>
        </w:rPr>
        <w:t xml:space="preserve"> </w:t>
      </w:r>
      <w:proofErr w:type="spellStart"/>
      <w:r w:rsidRPr="00116624">
        <w:rPr>
          <w:rFonts w:ascii="Times New Roman" w:hAnsi="Times New Roman" w:cs="Times New Roman"/>
          <w:sz w:val="20"/>
          <w:szCs w:val="20"/>
        </w:rPr>
        <w:t>Coding</w:t>
      </w:r>
      <w:proofErr w:type="spellEnd"/>
      <w:r w:rsidRPr="00116624">
        <w:rPr>
          <w:rFonts w:ascii="Times New Roman" w:hAnsi="Times New Roman" w:cs="Times New Roman"/>
          <w:sz w:val="20"/>
          <w:szCs w:val="20"/>
        </w:rPr>
        <w:t xml:space="preserve"> (EC) dla dysków SAS i SAS-NL </w:t>
      </w:r>
    </w:p>
    <w:p w14:paraId="56FDD7A7"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Dostarczone rozwiązanie powinno być wyposażone w dyski nie większe niż 12TB.</w:t>
      </w:r>
    </w:p>
    <w:p w14:paraId="6347041F"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 xml:space="preserve">Dostarczone rozwiązanie musi zapewniać i gwarantować niezmienność składowanych w nim obiektów, między innymi poprzez wykorzystanie wbudowanej technologii WORM (Write </w:t>
      </w:r>
      <w:proofErr w:type="spellStart"/>
      <w:r w:rsidRPr="00116624">
        <w:rPr>
          <w:rFonts w:ascii="Times New Roman" w:hAnsi="Times New Roman" w:cs="Times New Roman"/>
          <w:sz w:val="20"/>
          <w:szCs w:val="20"/>
        </w:rPr>
        <w:t>Once</w:t>
      </w:r>
      <w:proofErr w:type="spellEnd"/>
      <w:r w:rsidRPr="00116624">
        <w:rPr>
          <w:rFonts w:ascii="Times New Roman" w:hAnsi="Times New Roman" w:cs="Times New Roman"/>
          <w:sz w:val="20"/>
          <w:szCs w:val="20"/>
        </w:rPr>
        <w:t xml:space="preserve"> Read Many). W przypadku rozwiązania dla środowiska produkcyjnego Zamawiający wymaga, aby funkcjonalność WORM była realizowana wewnątrz dostarczonego gotowego rozwiązania sprzętowego (</w:t>
      </w:r>
      <w:proofErr w:type="spellStart"/>
      <w:r w:rsidRPr="00116624">
        <w:rPr>
          <w:rFonts w:ascii="Times New Roman" w:hAnsi="Times New Roman" w:cs="Times New Roman"/>
          <w:sz w:val="20"/>
          <w:szCs w:val="20"/>
        </w:rPr>
        <w:t>appliance</w:t>
      </w:r>
      <w:proofErr w:type="spellEnd"/>
      <w:r w:rsidRPr="00116624">
        <w:rPr>
          <w:rFonts w:ascii="Times New Roman" w:hAnsi="Times New Roman" w:cs="Times New Roman"/>
          <w:sz w:val="20"/>
          <w:szCs w:val="20"/>
        </w:rPr>
        <w:t xml:space="preserve">) w jego oprogramowaniu systemowym. Dla środowiska produkcyjnego Zamawiający nie dopuszcza, aby funkcjonalność WORM realizowana była poprzez rozwiązania programowe i rozwiązania uruchamiane w warstwie </w:t>
      </w:r>
      <w:proofErr w:type="spellStart"/>
      <w:r w:rsidRPr="00116624">
        <w:rPr>
          <w:rFonts w:ascii="Times New Roman" w:hAnsi="Times New Roman" w:cs="Times New Roman"/>
          <w:sz w:val="20"/>
          <w:szCs w:val="20"/>
        </w:rPr>
        <w:t>wirtualizacyjnej</w:t>
      </w:r>
      <w:proofErr w:type="spellEnd"/>
      <w:r w:rsidRPr="00116624">
        <w:rPr>
          <w:rFonts w:ascii="Times New Roman" w:hAnsi="Times New Roman" w:cs="Times New Roman"/>
          <w:sz w:val="20"/>
          <w:szCs w:val="20"/>
        </w:rPr>
        <w:t xml:space="preserve"> (</w:t>
      </w:r>
      <w:proofErr w:type="spellStart"/>
      <w:r w:rsidRPr="00116624">
        <w:rPr>
          <w:rFonts w:ascii="Times New Roman" w:hAnsi="Times New Roman" w:cs="Times New Roman"/>
          <w:sz w:val="20"/>
          <w:szCs w:val="20"/>
        </w:rPr>
        <w:t>VMware</w:t>
      </w:r>
      <w:proofErr w:type="spellEnd"/>
      <w:r w:rsidRPr="00116624">
        <w:rPr>
          <w:rFonts w:ascii="Times New Roman" w:hAnsi="Times New Roman" w:cs="Times New Roman"/>
          <w:sz w:val="20"/>
          <w:szCs w:val="20"/>
        </w:rPr>
        <w:t xml:space="preserve">, Hyper-V, KVM i inne). </w:t>
      </w:r>
    </w:p>
    <w:p w14:paraId="36760D07"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Rozwiązanie musi posiadać możliwość definiowania różnych poziomów retencji przechowywania danych, gwarantujących brak możliwości skasowania danych przed upływem zdefiniowanego czasu.</w:t>
      </w:r>
    </w:p>
    <w:p w14:paraId="69DE915E"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Funkcjonalności WORM oraz retencja muszą działać dla wszystkich wspieranych przez rozwiązanie protokołów dostępowych.</w:t>
      </w:r>
    </w:p>
    <w:p w14:paraId="1A7BBC76"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Retencja powinna być ustawiana zarówno dla danych jak i dla własnych (</w:t>
      </w:r>
      <w:proofErr w:type="spellStart"/>
      <w:r w:rsidRPr="00116624">
        <w:rPr>
          <w:rFonts w:ascii="Times New Roman" w:hAnsi="Times New Roman" w:cs="Times New Roman"/>
          <w:sz w:val="20"/>
          <w:szCs w:val="20"/>
        </w:rPr>
        <w:t>custom</w:t>
      </w:r>
      <w:proofErr w:type="spellEnd"/>
      <w:r w:rsidRPr="00116624">
        <w:rPr>
          <w:rFonts w:ascii="Times New Roman" w:hAnsi="Times New Roman" w:cs="Times New Roman"/>
          <w:sz w:val="20"/>
          <w:szCs w:val="20"/>
        </w:rPr>
        <w:t>) metadanych. W przypadku własnych metadanych musi istnieć możliwość zdefiniowania przez administratora co najmniej następujących operacji:</w:t>
      </w:r>
    </w:p>
    <w:p w14:paraId="17F9B145" w14:textId="77777777" w:rsidR="00116624" w:rsidRPr="00116624" w:rsidRDefault="00116624" w:rsidP="00116624">
      <w:pPr>
        <w:pStyle w:val="Akapitzlist"/>
        <w:numPr>
          <w:ilvl w:val="3"/>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Pełna retencja, czyli brak możliwości jakichkolwiek zmian w metadanych.</w:t>
      </w:r>
    </w:p>
    <w:p w14:paraId="61125298" w14:textId="77777777" w:rsidR="00116624" w:rsidRPr="00116624" w:rsidRDefault="00116624" w:rsidP="00116624">
      <w:pPr>
        <w:pStyle w:val="Akapitzlist"/>
        <w:numPr>
          <w:ilvl w:val="3"/>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Możliwość dopisania nowych rekordów do metadanych, ale bez możliwości zmiany i kasowania już istniejących.</w:t>
      </w:r>
    </w:p>
    <w:p w14:paraId="16F789B5" w14:textId="77777777" w:rsidR="00116624" w:rsidRPr="00116624" w:rsidRDefault="00116624" w:rsidP="00116624">
      <w:pPr>
        <w:pStyle w:val="Akapitzlist"/>
        <w:numPr>
          <w:ilvl w:val="3"/>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Możliwość dopisania nowych rekordów do metadanych z możliwością zmiany i kasowania już istniejących.</w:t>
      </w:r>
    </w:p>
    <w:p w14:paraId="316A9B3A"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Rozwiązanie musi posiadać możliwość ustrukturyzowania metadanych. To oznacza, że musi istnieć możliwość podziału metadanych na co najmniej 10 odrębnych grup (adnotacji) w taki sposób, aby z każdej z tych grup (adnotacji) mogły korzystać niezależne aplikacje bez konieczności duplikowania obiektów w magazynie składowania danych.</w:t>
      </w:r>
    </w:p>
    <w:p w14:paraId="61D1DBEE"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Rozwiązanie musi posiadać możliwość tworzenia logicznych partycji oraz przestrzeni nazw definiowanych wewnątrz tych partycji. Zamawiający wymaga, aby dostarczone rozwiązanie dla środowiska produkcyjnego posiadało możliwość zdefiniowania co najmniej 1000 logicznych partycji oraz co najmniej 10000 przestrzeni nazw. W przypadku środowiska testowego wymagana jest możliwość zdefiniowania co najmniej 5 logicznych partycji oraz co najmniej 25 przestrzeni nazw. Musi istnieć możliwość mapowania i wykorzystania różnych przestrzeni nazw dla różnych aplikacji, w taki sposób, aby dla każdej z tych aplikacji możliwe było definiowanie różnych i niezależnych parametrów i kryteriów składowania danych, w tym co najmniej: retencji, nieodwracalnego niszczenia danych, wersjonowania, indeksowania i replikacji.</w:t>
      </w:r>
    </w:p>
    <w:p w14:paraId="4AEF2DD3"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Rozwiązanie musi pozwalać na zdefiniowanie partycji, w których istnieje możliwość usuwania danych przed upływem retencji oraz partycji, w których usuwanie danych przed upływem retencji jest niemożliwe. Rozwiązanie powinno pozwalać na definiowanie i uruchamianie jednocześnie obydwu typów partycji.</w:t>
      </w:r>
    </w:p>
    <w:p w14:paraId="54BDD4DD"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 xml:space="preserve">W przypadku partycji, w której istnieje możliwość usuwania danych przed upływem retencji wymagane jest, aby taką operację mógł wykonywać jedynie administrator z odpowiednimi uprawnieniami oraz aby operacja ta była </w:t>
      </w:r>
      <w:proofErr w:type="spellStart"/>
      <w:r w:rsidRPr="00116624">
        <w:rPr>
          <w:rFonts w:ascii="Times New Roman" w:hAnsi="Times New Roman" w:cs="Times New Roman"/>
          <w:sz w:val="20"/>
          <w:szCs w:val="20"/>
        </w:rPr>
        <w:t>audytowalna</w:t>
      </w:r>
      <w:proofErr w:type="spellEnd"/>
      <w:r w:rsidRPr="00116624">
        <w:rPr>
          <w:rFonts w:ascii="Times New Roman" w:hAnsi="Times New Roman" w:cs="Times New Roman"/>
          <w:sz w:val="20"/>
          <w:szCs w:val="20"/>
        </w:rPr>
        <w:t>, co oznacza, że czynności związane z usuwaniem muszą być rejestrowane w wewnętrznych dziennikach dostarczonego rozwiązania.</w:t>
      </w:r>
    </w:p>
    <w:p w14:paraId="119BFAA1"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Każda ze zdefiniowanych partycji musi mieć możliwość zarządzana przez różnych administratorów.</w:t>
      </w:r>
    </w:p>
    <w:p w14:paraId="27EAABE3"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Rozwiązanie musi posiadać wbudowane mechanizmy pozwalające na rozliczanie kosztów wykorzystania jego zasobów.</w:t>
      </w:r>
    </w:p>
    <w:p w14:paraId="70D0DC2F"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 xml:space="preserve">Rozwiązanie powinno posiadać wbudowany mechanizm zatrzymania retencji danych, co oznacza, że w przypadku, gdy taki mechanizm zostanie włączony dla danego obiektu, retencja </w:t>
      </w:r>
      <w:r w:rsidRPr="00116624">
        <w:rPr>
          <w:rFonts w:ascii="Times New Roman" w:hAnsi="Times New Roman" w:cs="Times New Roman"/>
          <w:sz w:val="20"/>
          <w:szCs w:val="20"/>
        </w:rPr>
        <w:lastRenderedPageBreak/>
        <w:t>danych musi być utrzymywana dla tego obiektu do momentu jego wyłączenia, niezależnie od zadanego parametru czasu w definicji polityki retencji.</w:t>
      </w:r>
    </w:p>
    <w:p w14:paraId="179BE42C"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 xml:space="preserve">Rozwiązanie musi posiadać wbudowany mechanizm nieodwracalnego niszczenia danych, dla których okres retencji został przekroczony lub nie został zdefiniowany.  </w:t>
      </w:r>
    </w:p>
    <w:p w14:paraId="528D3171"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Rozwiązanie musi posiadać wbudowane mechanizmy zapewniające możliwość potwierdzania autentyczności składowanych danych. Mechanizmy te muszą opierać się o wyliczenie przez urządzenie sumy kontrolnej dla każdego składowanego obiektu. Administrator rozwiązania musi mieć możliwość wyboru algorytmu, który będzie wykorzystany do wyliczenia sumy kontrolnej. Wymagane jest wsparcie dla co najmniej następujących algorytmów kryptograficznych: MD5, SHA-1, SHA-256 i SHA-512.</w:t>
      </w:r>
    </w:p>
    <w:p w14:paraId="0DAEA481"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Rozwiązanie musi posiadać swoje własne wbudowane mechanizmy weryfikacji sum kontrolnych składowanych obiektów.</w:t>
      </w:r>
    </w:p>
    <w:p w14:paraId="7FE9A447"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 xml:space="preserve">Rozwiązanie powinno posiadać wbudowane mechanizmy redukcji danych, w tym co najmniej </w:t>
      </w:r>
      <w:proofErr w:type="spellStart"/>
      <w:r w:rsidRPr="00116624">
        <w:rPr>
          <w:rFonts w:ascii="Times New Roman" w:hAnsi="Times New Roman" w:cs="Times New Roman"/>
          <w:sz w:val="20"/>
          <w:szCs w:val="20"/>
        </w:rPr>
        <w:t>deduplikację</w:t>
      </w:r>
      <w:proofErr w:type="spellEnd"/>
      <w:r w:rsidRPr="00116624">
        <w:rPr>
          <w:rFonts w:ascii="Times New Roman" w:hAnsi="Times New Roman" w:cs="Times New Roman"/>
          <w:sz w:val="20"/>
          <w:szCs w:val="20"/>
        </w:rPr>
        <w:t xml:space="preserve"> i kompresję danych. </w:t>
      </w:r>
    </w:p>
    <w:p w14:paraId="41503992"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Rozwiązanie powinno posiadać wbudowany mechanizm wersjonowania obiektów wraz z funkcjonalnością kasowania poprzednich wersji po określonym przez administratora czasie.</w:t>
      </w:r>
    </w:p>
    <w:p w14:paraId="3DBD6098"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 xml:space="preserve">Rozwiązanie dla środowiska produkcyjnego musi posiadać możliwość szyfrowania danych. Szyfrowanie powinno być realizowane: na dyskach obiektowego magazynu składowania danych, na połączeniu do replikacji pomiędzy ośrodkami i w przypadku </w:t>
      </w:r>
      <w:proofErr w:type="spellStart"/>
      <w:r w:rsidRPr="00116624">
        <w:rPr>
          <w:rFonts w:ascii="Times New Roman" w:hAnsi="Times New Roman" w:cs="Times New Roman"/>
          <w:sz w:val="20"/>
          <w:szCs w:val="20"/>
        </w:rPr>
        <w:t>tieringu</w:t>
      </w:r>
      <w:proofErr w:type="spellEnd"/>
      <w:r w:rsidRPr="00116624">
        <w:rPr>
          <w:rFonts w:ascii="Times New Roman" w:hAnsi="Times New Roman" w:cs="Times New Roman"/>
          <w:sz w:val="20"/>
          <w:szCs w:val="20"/>
        </w:rPr>
        <w:t xml:space="preserve"> danych do zewnętrznej warstwy w szczególności do chmury publicznej.</w:t>
      </w:r>
    </w:p>
    <w:p w14:paraId="252F76CB"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Rozwiązanie musi posiadać natywnie wbudowane mechanizmy umożliwiające replikację składowanych danych pomiędzy różnymi lokalizacjami z wykorzystaniem sieci LAN/WAN i protokołu HTTP. Zastosowanie niniejszego mechanizmu musi również spełniać wymagania replikacji metadanych, uprawnień, polityki retencji oraz niezmienności danych tzn. awaria urządzenia w lokalizacji podstawowej nie może eliminować gwarancji niezmienności danych na platformie zdalnej.</w:t>
      </w:r>
    </w:p>
    <w:p w14:paraId="28ED1FD7"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Replikacja powinna być możliwa zarówno w trybie Active/</w:t>
      </w:r>
      <w:proofErr w:type="spellStart"/>
      <w:r w:rsidRPr="00116624">
        <w:rPr>
          <w:rFonts w:ascii="Times New Roman" w:hAnsi="Times New Roman" w:cs="Times New Roman"/>
          <w:sz w:val="20"/>
          <w:szCs w:val="20"/>
        </w:rPr>
        <w:t>Passive</w:t>
      </w:r>
      <w:proofErr w:type="spellEnd"/>
      <w:r w:rsidRPr="00116624">
        <w:rPr>
          <w:rFonts w:ascii="Times New Roman" w:hAnsi="Times New Roman" w:cs="Times New Roman"/>
          <w:sz w:val="20"/>
          <w:szCs w:val="20"/>
        </w:rPr>
        <w:t>, czyli w trybie, w którym do odczytu i zapisu udostępniona jest replikowana przestrzeń nazw tylko w jednym ośrodku, jak i w trybie Active/Active, w którym do odczytu i zapisu udostępnione są replikowane przestrzenie nazw w każdym ośrodku.</w:t>
      </w:r>
    </w:p>
    <w:p w14:paraId="2BEB49A2"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Replikacja powinna być możliwa pomiędzy co najmniej 5 ośrodkami. W każdym z tych ośrodków replikowana przestrzeń nazw musi być jednocześnie dostępna do zapisu i odczytu w przypadku replikacji w trybie Active/Active.</w:t>
      </w:r>
    </w:p>
    <w:p w14:paraId="7C748D1C"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Rozwiązanie powinno wspierać różne topologie replikacji danych w tym co najmniej: 1-do-wielu, 1-do-1, wiele-do-1.</w:t>
      </w:r>
    </w:p>
    <w:p w14:paraId="1E567365"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 xml:space="preserve">Rozwiązanie powinno posiadać wbudowany mechanizm </w:t>
      </w:r>
      <w:proofErr w:type="spellStart"/>
      <w:r w:rsidRPr="00116624">
        <w:rPr>
          <w:rFonts w:ascii="Times New Roman" w:hAnsi="Times New Roman" w:cs="Times New Roman"/>
          <w:sz w:val="20"/>
          <w:szCs w:val="20"/>
        </w:rPr>
        <w:t>tieringu</w:t>
      </w:r>
      <w:proofErr w:type="spellEnd"/>
      <w:r w:rsidRPr="00116624">
        <w:rPr>
          <w:rFonts w:ascii="Times New Roman" w:hAnsi="Times New Roman" w:cs="Times New Roman"/>
          <w:sz w:val="20"/>
          <w:szCs w:val="20"/>
        </w:rPr>
        <w:t xml:space="preserve"> danych, realizowanego automatycznie i w sposób przeźroczysty dla aplikacji użytkowników.</w:t>
      </w:r>
    </w:p>
    <w:p w14:paraId="7595A5DB"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proofErr w:type="spellStart"/>
      <w:r w:rsidRPr="00116624">
        <w:rPr>
          <w:rFonts w:ascii="Times New Roman" w:hAnsi="Times New Roman" w:cs="Times New Roman"/>
          <w:sz w:val="20"/>
          <w:szCs w:val="20"/>
        </w:rPr>
        <w:t>Tiering</w:t>
      </w:r>
      <w:proofErr w:type="spellEnd"/>
      <w:r w:rsidRPr="00116624">
        <w:rPr>
          <w:rFonts w:ascii="Times New Roman" w:hAnsi="Times New Roman" w:cs="Times New Roman"/>
          <w:sz w:val="20"/>
          <w:szCs w:val="20"/>
        </w:rPr>
        <w:t xml:space="preserve"> powinien być realizowany pomiędzy węzłami dostępowymi, a:</w:t>
      </w:r>
    </w:p>
    <w:p w14:paraId="0908BD4B" w14:textId="77777777" w:rsidR="00116624" w:rsidRPr="00116624" w:rsidRDefault="00116624" w:rsidP="00116624">
      <w:pPr>
        <w:pStyle w:val="Akapitzlist"/>
        <w:numPr>
          <w:ilvl w:val="3"/>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węzłami przechowywania danych w obiektowym magazynie danych.</w:t>
      </w:r>
    </w:p>
    <w:p w14:paraId="2F52AE1B" w14:textId="77777777" w:rsidR="00116624" w:rsidRPr="00116624" w:rsidRDefault="00116624" w:rsidP="00116624">
      <w:pPr>
        <w:pStyle w:val="Akapitzlist"/>
        <w:numPr>
          <w:ilvl w:val="3"/>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zewnętrznymi urządzeniami NAS za pomocą protokołu NFS.</w:t>
      </w:r>
    </w:p>
    <w:p w14:paraId="11EDFCB5" w14:textId="77777777" w:rsidR="00116624" w:rsidRPr="00116624" w:rsidRDefault="00116624" w:rsidP="00116624">
      <w:pPr>
        <w:pStyle w:val="Akapitzlist"/>
        <w:numPr>
          <w:ilvl w:val="3"/>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 xml:space="preserve">chmurą publiczną, co najmniej takich producentów jak Microsoft, Amazon i Google. </w:t>
      </w:r>
    </w:p>
    <w:p w14:paraId="72045663"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Rozwiązanie powinno posiadać możliwość zarządzania co najmniej poprzez graficzny interfejs użytkownika oraz poprzez API.</w:t>
      </w:r>
    </w:p>
    <w:p w14:paraId="2B72FB5E"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Rozwiązanie powinno posiadać interfejs API dla protokołów dostępowych, co najmniej S3 oraz  http/</w:t>
      </w:r>
      <w:proofErr w:type="spellStart"/>
      <w:r w:rsidRPr="00116624">
        <w:rPr>
          <w:rFonts w:ascii="Times New Roman" w:hAnsi="Times New Roman" w:cs="Times New Roman"/>
          <w:sz w:val="20"/>
          <w:szCs w:val="20"/>
        </w:rPr>
        <w:t>https</w:t>
      </w:r>
      <w:proofErr w:type="spellEnd"/>
      <w:r w:rsidRPr="00116624">
        <w:rPr>
          <w:rFonts w:ascii="Times New Roman" w:hAnsi="Times New Roman" w:cs="Times New Roman"/>
          <w:sz w:val="20"/>
          <w:szCs w:val="20"/>
        </w:rPr>
        <w:t xml:space="preserve"> do zarządzania.</w:t>
      </w:r>
    </w:p>
    <w:p w14:paraId="75221219"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Rozwiązanie powinno posiadać wbudowany silnik wyszukiwania metadanych oraz dostępne dla tego silnika API.</w:t>
      </w:r>
    </w:p>
    <w:p w14:paraId="371D37D4" w14:textId="77777777" w:rsidR="00116624" w:rsidRPr="00116624" w:rsidRDefault="00116624" w:rsidP="00116624">
      <w:pPr>
        <w:pStyle w:val="Akapitzlist"/>
        <w:numPr>
          <w:ilvl w:val="2"/>
          <w:numId w:val="4"/>
        </w:numPr>
        <w:spacing w:before="60" w:after="60"/>
        <w:rPr>
          <w:rFonts w:ascii="Times New Roman" w:hAnsi="Times New Roman" w:cs="Times New Roman"/>
          <w:sz w:val="20"/>
          <w:szCs w:val="20"/>
        </w:rPr>
      </w:pPr>
      <w:r w:rsidRPr="00116624">
        <w:rPr>
          <w:rFonts w:ascii="Times New Roman" w:hAnsi="Times New Roman" w:cs="Times New Roman"/>
          <w:sz w:val="20"/>
          <w:szCs w:val="20"/>
        </w:rPr>
        <w:t xml:space="preserve">Wyszukiwanie metadanych powinno być realizowane m.in. w oparciu o tzw. </w:t>
      </w:r>
      <w:proofErr w:type="spellStart"/>
      <w:r w:rsidRPr="00116624">
        <w:rPr>
          <w:rFonts w:ascii="Times New Roman" w:hAnsi="Times New Roman" w:cs="Times New Roman"/>
          <w:sz w:val="20"/>
          <w:szCs w:val="20"/>
        </w:rPr>
        <w:t>content</w:t>
      </w:r>
      <w:proofErr w:type="spellEnd"/>
      <w:r w:rsidRPr="00116624">
        <w:rPr>
          <w:rFonts w:ascii="Times New Roman" w:hAnsi="Times New Roman" w:cs="Times New Roman"/>
          <w:sz w:val="20"/>
          <w:szCs w:val="20"/>
        </w:rPr>
        <w:t xml:space="preserve"> </w:t>
      </w:r>
      <w:proofErr w:type="spellStart"/>
      <w:r w:rsidRPr="00116624">
        <w:rPr>
          <w:rFonts w:ascii="Times New Roman" w:hAnsi="Times New Roman" w:cs="Times New Roman"/>
          <w:sz w:val="20"/>
          <w:szCs w:val="20"/>
        </w:rPr>
        <w:t>classy</w:t>
      </w:r>
      <w:proofErr w:type="spellEnd"/>
      <w:r w:rsidRPr="00116624">
        <w:rPr>
          <w:rFonts w:ascii="Times New Roman" w:hAnsi="Times New Roman" w:cs="Times New Roman"/>
          <w:sz w:val="20"/>
          <w:szCs w:val="20"/>
        </w:rPr>
        <w:t xml:space="preserve"> oraz wyrażenia regularne</w:t>
      </w:r>
    </w:p>
    <w:p w14:paraId="76F38579" w14:textId="77777777" w:rsidR="004721D4" w:rsidRDefault="004721D4" w:rsidP="004721D4">
      <w:pPr>
        <w:pStyle w:val="Akapitzlist"/>
        <w:numPr>
          <w:ilvl w:val="1"/>
          <w:numId w:val="4"/>
        </w:numPr>
        <w:spacing w:before="60" w:after="60"/>
        <w:rPr>
          <w:rFonts w:ascii="Times New Roman" w:hAnsi="Times New Roman" w:cs="Times New Roman"/>
          <w:sz w:val="20"/>
          <w:szCs w:val="20"/>
        </w:rPr>
      </w:pPr>
      <w:r w:rsidRPr="004721D4">
        <w:rPr>
          <w:rFonts w:ascii="Times New Roman" w:hAnsi="Times New Roman" w:cs="Times New Roman"/>
          <w:sz w:val="20"/>
          <w:szCs w:val="20"/>
        </w:rPr>
        <w:t>Ogólne wymagania techniczne i serwisowe:</w:t>
      </w:r>
    </w:p>
    <w:p w14:paraId="77545B67" w14:textId="77777777" w:rsidR="00E641DA" w:rsidRDefault="00E641DA" w:rsidP="00E641DA">
      <w:pPr>
        <w:pStyle w:val="Akapitzlist"/>
        <w:numPr>
          <w:ilvl w:val="2"/>
          <w:numId w:val="4"/>
        </w:numPr>
        <w:spacing w:before="60" w:after="60"/>
        <w:rPr>
          <w:rFonts w:ascii="Times New Roman" w:hAnsi="Times New Roman" w:cs="Times New Roman"/>
          <w:sz w:val="20"/>
          <w:szCs w:val="20"/>
        </w:rPr>
      </w:pPr>
      <w:r w:rsidRPr="00E641DA">
        <w:rPr>
          <w:rFonts w:ascii="Times New Roman" w:hAnsi="Times New Roman" w:cs="Times New Roman"/>
          <w:sz w:val="20"/>
          <w:szCs w:val="20"/>
        </w:rPr>
        <w:t xml:space="preserve">Całe rozwiązanie musi być dostarczone wraz z kompatybilnymi z rozwiązaniem i infrastrukturą Zamawiającego szafami </w:t>
      </w:r>
      <w:proofErr w:type="spellStart"/>
      <w:r>
        <w:rPr>
          <w:rFonts w:ascii="Times New Roman" w:hAnsi="Times New Roman" w:cs="Times New Roman"/>
          <w:sz w:val="20"/>
          <w:szCs w:val="20"/>
        </w:rPr>
        <w:t>r</w:t>
      </w:r>
      <w:r w:rsidRPr="00E641DA">
        <w:rPr>
          <w:rFonts w:ascii="Times New Roman" w:hAnsi="Times New Roman" w:cs="Times New Roman"/>
          <w:sz w:val="20"/>
          <w:szCs w:val="20"/>
        </w:rPr>
        <w:t>ack</w:t>
      </w:r>
      <w:proofErr w:type="spellEnd"/>
      <w:r w:rsidRPr="00E641DA">
        <w:rPr>
          <w:rFonts w:ascii="Times New Roman" w:hAnsi="Times New Roman" w:cs="Times New Roman"/>
          <w:sz w:val="20"/>
          <w:szCs w:val="20"/>
        </w:rPr>
        <w:t xml:space="preserve"> 19</w:t>
      </w:r>
      <w:r>
        <w:rPr>
          <w:rFonts w:ascii="Times New Roman" w:hAnsi="Times New Roman" w:cs="Times New Roman"/>
          <w:sz w:val="20"/>
          <w:szCs w:val="20"/>
        </w:rPr>
        <w:t>” o głębokości 1200mm.</w:t>
      </w:r>
    </w:p>
    <w:p w14:paraId="7A4386B6" w14:textId="77777777" w:rsidR="00E0543B" w:rsidRPr="00E641DA" w:rsidRDefault="00E0543B" w:rsidP="00E641DA">
      <w:pPr>
        <w:pStyle w:val="Akapitzlist"/>
        <w:numPr>
          <w:ilvl w:val="2"/>
          <w:numId w:val="4"/>
        </w:numPr>
        <w:spacing w:before="60" w:after="60"/>
        <w:rPr>
          <w:rFonts w:ascii="Times New Roman" w:hAnsi="Times New Roman" w:cs="Times New Roman"/>
          <w:sz w:val="20"/>
          <w:szCs w:val="20"/>
        </w:rPr>
      </w:pPr>
      <w:r w:rsidRPr="00E641DA">
        <w:rPr>
          <w:rFonts w:ascii="Times New Roman" w:hAnsi="Times New Roman" w:cs="Times New Roman"/>
          <w:sz w:val="20"/>
          <w:szCs w:val="20"/>
        </w:rPr>
        <w:t xml:space="preserve">Zasilanie napięciem przemiennym 230 V / 50 </w:t>
      </w:r>
      <w:proofErr w:type="spellStart"/>
      <w:r w:rsidRPr="00E641DA">
        <w:rPr>
          <w:rFonts w:ascii="Times New Roman" w:hAnsi="Times New Roman" w:cs="Times New Roman"/>
          <w:sz w:val="20"/>
          <w:szCs w:val="20"/>
        </w:rPr>
        <w:t>Hz</w:t>
      </w:r>
      <w:proofErr w:type="spellEnd"/>
      <w:r w:rsidRPr="00E641DA">
        <w:rPr>
          <w:rFonts w:ascii="Times New Roman" w:hAnsi="Times New Roman" w:cs="Times New Roman"/>
          <w:sz w:val="20"/>
          <w:szCs w:val="20"/>
        </w:rPr>
        <w:t>. Zasilacze redundantne typu hot-</w:t>
      </w:r>
      <w:proofErr w:type="spellStart"/>
      <w:r w:rsidRPr="00E641DA">
        <w:rPr>
          <w:rFonts w:ascii="Times New Roman" w:hAnsi="Times New Roman" w:cs="Times New Roman"/>
          <w:sz w:val="20"/>
          <w:szCs w:val="20"/>
        </w:rPr>
        <w:t>swap</w:t>
      </w:r>
      <w:proofErr w:type="spellEnd"/>
      <w:r w:rsidRPr="00E641DA">
        <w:rPr>
          <w:rFonts w:ascii="Times New Roman" w:hAnsi="Times New Roman" w:cs="Times New Roman"/>
          <w:sz w:val="20"/>
          <w:szCs w:val="20"/>
        </w:rPr>
        <w:t>.</w:t>
      </w:r>
    </w:p>
    <w:p w14:paraId="0B93DD8B" w14:textId="77777777" w:rsidR="00E0543B" w:rsidRPr="00E0543B" w:rsidRDefault="00E0543B" w:rsidP="004721D4">
      <w:pPr>
        <w:pStyle w:val="Akapitzlist"/>
        <w:numPr>
          <w:ilvl w:val="2"/>
          <w:numId w:val="4"/>
        </w:numPr>
        <w:spacing w:before="60" w:after="60"/>
        <w:rPr>
          <w:rFonts w:ascii="Times New Roman" w:hAnsi="Times New Roman" w:cs="Times New Roman"/>
          <w:sz w:val="20"/>
          <w:szCs w:val="20"/>
        </w:rPr>
      </w:pPr>
      <w:r w:rsidRPr="00E0543B">
        <w:rPr>
          <w:rFonts w:ascii="Times New Roman" w:hAnsi="Times New Roman" w:cs="Times New Roman"/>
          <w:sz w:val="20"/>
          <w:szCs w:val="20"/>
        </w:rPr>
        <w:lastRenderedPageBreak/>
        <w:t>Dostęp do aktualnych wersji oprogramowania sprzętowego (</w:t>
      </w:r>
      <w:proofErr w:type="spellStart"/>
      <w:r w:rsidRPr="00E0543B">
        <w:rPr>
          <w:rFonts w:ascii="Times New Roman" w:hAnsi="Times New Roman" w:cs="Times New Roman"/>
          <w:sz w:val="20"/>
          <w:szCs w:val="20"/>
        </w:rPr>
        <w:t>firmware</w:t>
      </w:r>
      <w:proofErr w:type="spellEnd"/>
      <w:r w:rsidRPr="00E0543B">
        <w:rPr>
          <w:rFonts w:ascii="Times New Roman" w:hAnsi="Times New Roman" w:cs="Times New Roman"/>
          <w:sz w:val="20"/>
          <w:szCs w:val="20"/>
        </w:rPr>
        <w:t>) przez cały okres gwarancji.</w:t>
      </w:r>
    </w:p>
    <w:p w14:paraId="42A6E6DA" w14:textId="77777777" w:rsidR="00E0543B" w:rsidRPr="00E0543B" w:rsidRDefault="00E0543B" w:rsidP="004721D4">
      <w:pPr>
        <w:pStyle w:val="Akapitzlist"/>
        <w:numPr>
          <w:ilvl w:val="2"/>
          <w:numId w:val="4"/>
        </w:numPr>
        <w:spacing w:before="60" w:after="60"/>
        <w:rPr>
          <w:rFonts w:ascii="Times New Roman" w:hAnsi="Times New Roman" w:cs="Times New Roman"/>
          <w:sz w:val="20"/>
          <w:szCs w:val="20"/>
        </w:rPr>
      </w:pPr>
      <w:r w:rsidRPr="00E0543B">
        <w:rPr>
          <w:rFonts w:ascii="Times New Roman" w:hAnsi="Times New Roman" w:cs="Times New Roman"/>
          <w:sz w:val="20"/>
          <w:szCs w:val="20"/>
        </w:rPr>
        <w:t>Realizacja zgłoszeń serwisowych i gwarancyjnych w trybie 24x7.</w:t>
      </w:r>
    </w:p>
    <w:p w14:paraId="17F30C5E" w14:textId="77777777" w:rsidR="00E0543B" w:rsidRPr="00E0543B" w:rsidRDefault="00E0543B" w:rsidP="004721D4">
      <w:pPr>
        <w:pStyle w:val="Akapitzlist"/>
        <w:numPr>
          <w:ilvl w:val="2"/>
          <w:numId w:val="4"/>
        </w:numPr>
        <w:spacing w:before="60" w:after="60"/>
        <w:rPr>
          <w:rFonts w:ascii="Times New Roman" w:hAnsi="Times New Roman" w:cs="Times New Roman"/>
          <w:sz w:val="20"/>
          <w:szCs w:val="20"/>
        </w:rPr>
      </w:pPr>
      <w:r w:rsidRPr="00E0543B">
        <w:rPr>
          <w:rFonts w:ascii="Times New Roman" w:hAnsi="Times New Roman" w:cs="Times New Roman"/>
          <w:sz w:val="20"/>
          <w:szCs w:val="20"/>
        </w:rPr>
        <w:t>Wsparcie techniczne w języku polskim (w godzinach 9:00–17:00) oraz całodobowo przez portal www i e-mail.</w:t>
      </w:r>
    </w:p>
    <w:p w14:paraId="622E3D73" w14:textId="77777777" w:rsidR="00E0543B" w:rsidRPr="00E0543B" w:rsidRDefault="00E0543B" w:rsidP="004721D4">
      <w:pPr>
        <w:pStyle w:val="Akapitzlist"/>
        <w:numPr>
          <w:ilvl w:val="2"/>
          <w:numId w:val="4"/>
        </w:numPr>
        <w:spacing w:before="60" w:after="60"/>
        <w:rPr>
          <w:rFonts w:ascii="Times New Roman" w:hAnsi="Times New Roman" w:cs="Times New Roman"/>
          <w:sz w:val="20"/>
          <w:szCs w:val="20"/>
        </w:rPr>
      </w:pPr>
      <w:r w:rsidRPr="00E0543B">
        <w:rPr>
          <w:rFonts w:ascii="Times New Roman" w:hAnsi="Times New Roman" w:cs="Times New Roman"/>
          <w:sz w:val="20"/>
          <w:szCs w:val="20"/>
        </w:rPr>
        <w:t>Czas dostawy sprawnego urządzenia lub części: maksymalnie 4 dni robocze od zgłoszenia awarii.</w:t>
      </w:r>
    </w:p>
    <w:p w14:paraId="22F853AC" w14:textId="77777777" w:rsidR="00E0543B" w:rsidRDefault="00E0543B" w:rsidP="004721D4">
      <w:pPr>
        <w:pStyle w:val="Akapitzlist"/>
        <w:numPr>
          <w:ilvl w:val="2"/>
          <w:numId w:val="4"/>
        </w:numPr>
        <w:spacing w:before="60" w:after="60"/>
        <w:rPr>
          <w:rFonts w:ascii="Times New Roman" w:hAnsi="Times New Roman" w:cs="Times New Roman"/>
          <w:sz w:val="20"/>
          <w:szCs w:val="20"/>
        </w:rPr>
      </w:pPr>
      <w:r w:rsidRPr="00E0543B">
        <w:rPr>
          <w:rFonts w:ascii="Times New Roman" w:hAnsi="Times New Roman" w:cs="Times New Roman"/>
          <w:sz w:val="20"/>
          <w:szCs w:val="20"/>
        </w:rPr>
        <w:t xml:space="preserve">W przypadku awarii nośników danych, uszkodzone dyski (SSD, HDD, </w:t>
      </w:r>
      <w:proofErr w:type="spellStart"/>
      <w:r w:rsidRPr="00E0543B">
        <w:rPr>
          <w:rFonts w:ascii="Times New Roman" w:hAnsi="Times New Roman" w:cs="Times New Roman"/>
          <w:sz w:val="20"/>
          <w:szCs w:val="20"/>
        </w:rPr>
        <w:t>NVMe</w:t>
      </w:r>
      <w:proofErr w:type="spellEnd"/>
      <w:r w:rsidRPr="00E0543B">
        <w:rPr>
          <w:rFonts w:ascii="Times New Roman" w:hAnsi="Times New Roman" w:cs="Times New Roman"/>
          <w:sz w:val="20"/>
          <w:szCs w:val="20"/>
        </w:rPr>
        <w:t>) pozostają u Zamawiającego.</w:t>
      </w:r>
    </w:p>
    <w:p w14:paraId="2BAEC0BB" w14:textId="77777777" w:rsidR="00E0543B" w:rsidRDefault="00E0543B" w:rsidP="00E0543B">
      <w:pPr>
        <w:pStyle w:val="Akapitzlist"/>
        <w:numPr>
          <w:ilvl w:val="0"/>
          <w:numId w:val="4"/>
        </w:numPr>
        <w:spacing w:before="60" w:after="60"/>
        <w:rPr>
          <w:rFonts w:ascii="Times New Roman" w:hAnsi="Times New Roman" w:cs="Times New Roman"/>
          <w:sz w:val="20"/>
          <w:szCs w:val="20"/>
        </w:rPr>
      </w:pPr>
      <w:r w:rsidRPr="00E0543B">
        <w:rPr>
          <w:rFonts w:ascii="Times New Roman" w:hAnsi="Times New Roman" w:cs="Times New Roman"/>
          <w:sz w:val="20"/>
          <w:szCs w:val="20"/>
        </w:rPr>
        <w:t xml:space="preserve">Specyfikacja techniczna poszczególnych </w:t>
      </w:r>
      <w:r>
        <w:rPr>
          <w:rFonts w:ascii="Times New Roman" w:hAnsi="Times New Roman" w:cs="Times New Roman"/>
          <w:sz w:val="20"/>
          <w:szCs w:val="20"/>
        </w:rPr>
        <w:t>urządzeń</w:t>
      </w:r>
    </w:p>
    <w:p w14:paraId="6A249834" w14:textId="77777777" w:rsidR="0036496C" w:rsidRDefault="00B31CA3" w:rsidP="00116624">
      <w:pPr>
        <w:pStyle w:val="Akapitzlist"/>
        <w:numPr>
          <w:ilvl w:val="1"/>
          <w:numId w:val="4"/>
        </w:numPr>
        <w:spacing w:before="60" w:after="60"/>
        <w:rPr>
          <w:rFonts w:ascii="Times New Roman" w:hAnsi="Times New Roman" w:cs="Times New Roman"/>
          <w:sz w:val="20"/>
          <w:szCs w:val="20"/>
        </w:rPr>
      </w:pPr>
      <w:r>
        <w:rPr>
          <w:rFonts w:ascii="Times New Roman" w:hAnsi="Times New Roman" w:cs="Times New Roman"/>
          <w:sz w:val="20"/>
          <w:szCs w:val="20"/>
        </w:rPr>
        <w:t>Serwer w</w:t>
      </w:r>
      <w:r w:rsidRPr="00116624">
        <w:rPr>
          <w:rFonts w:ascii="Times New Roman" w:hAnsi="Times New Roman" w:cs="Times New Roman"/>
          <w:sz w:val="20"/>
          <w:szCs w:val="20"/>
        </w:rPr>
        <w:t>ęz</w:t>
      </w:r>
      <w:r>
        <w:rPr>
          <w:rFonts w:ascii="Times New Roman" w:hAnsi="Times New Roman" w:cs="Times New Roman"/>
          <w:sz w:val="20"/>
          <w:szCs w:val="20"/>
        </w:rPr>
        <w:t>ła</w:t>
      </w:r>
      <w:r w:rsidR="00116624" w:rsidRPr="00116624">
        <w:rPr>
          <w:rFonts w:ascii="Times New Roman" w:hAnsi="Times New Roman" w:cs="Times New Roman"/>
          <w:sz w:val="20"/>
          <w:szCs w:val="20"/>
        </w:rPr>
        <w:t xml:space="preserve"> przechowywania danych</w:t>
      </w:r>
    </w:p>
    <w:p w14:paraId="18EFEDAB" w14:textId="77777777" w:rsidR="00B31CA3" w:rsidRDefault="00B31CA3" w:rsidP="00B31CA3">
      <w:pPr>
        <w:pStyle w:val="Akapitzlist"/>
        <w:numPr>
          <w:ilvl w:val="2"/>
          <w:numId w:val="4"/>
        </w:numPr>
        <w:spacing w:before="60" w:after="60"/>
        <w:rPr>
          <w:rFonts w:ascii="Times New Roman" w:hAnsi="Times New Roman" w:cs="Times New Roman"/>
          <w:sz w:val="20"/>
          <w:szCs w:val="20"/>
        </w:rPr>
      </w:pPr>
      <w:r>
        <w:rPr>
          <w:rFonts w:ascii="Times New Roman" w:hAnsi="Times New Roman" w:cs="Times New Roman"/>
          <w:sz w:val="20"/>
          <w:szCs w:val="20"/>
        </w:rPr>
        <w:t>Dostarczone urządzenia muszą spełniać wszystkie wymagania określone w punkcie A.</w:t>
      </w:r>
    </w:p>
    <w:p w14:paraId="477D6661" w14:textId="77777777" w:rsidR="00B31CA3" w:rsidRDefault="00B31CA3" w:rsidP="00B31CA3">
      <w:pPr>
        <w:pStyle w:val="Akapitzlist"/>
        <w:numPr>
          <w:ilvl w:val="2"/>
          <w:numId w:val="4"/>
        </w:numPr>
        <w:spacing w:before="60" w:after="60"/>
        <w:rPr>
          <w:rFonts w:ascii="Times New Roman" w:hAnsi="Times New Roman" w:cs="Times New Roman"/>
          <w:sz w:val="20"/>
          <w:szCs w:val="20"/>
        </w:rPr>
      </w:pPr>
      <w:r>
        <w:rPr>
          <w:rFonts w:ascii="Times New Roman" w:hAnsi="Times New Roman" w:cs="Times New Roman"/>
          <w:sz w:val="20"/>
          <w:szCs w:val="20"/>
        </w:rPr>
        <w:t xml:space="preserve">Dostarczony serwer zostanie zainstalowany w jednej z istniejących lokalizacji posiadanego przez Zamawiającego systemu </w:t>
      </w:r>
      <w:r w:rsidRPr="00B31CA3">
        <w:rPr>
          <w:rFonts w:ascii="Times New Roman" w:hAnsi="Times New Roman" w:cs="Times New Roman"/>
          <w:sz w:val="20"/>
          <w:szCs w:val="20"/>
        </w:rPr>
        <w:t>przechowywania danych obiektowych</w:t>
      </w:r>
      <w:r>
        <w:rPr>
          <w:rFonts w:ascii="Times New Roman" w:hAnsi="Times New Roman" w:cs="Times New Roman"/>
          <w:sz w:val="20"/>
          <w:szCs w:val="20"/>
        </w:rPr>
        <w:t>.</w:t>
      </w:r>
    </w:p>
    <w:p w14:paraId="30CD65FD" w14:textId="77777777" w:rsidR="00B31CA3" w:rsidRPr="00B31CA3" w:rsidRDefault="00B31CA3" w:rsidP="00B31CA3">
      <w:pPr>
        <w:pStyle w:val="Akapitzlist"/>
        <w:numPr>
          <w:ilvl w:val="2"/>
          <w:numId w:val="4"/>
        </w:numPr>
        <w:rPr>
          <w:rFonts w:ascii="Times New Roman" w:hAnsi="Times New Roman" w:cs="Times New Roman"/>
          <w:sz w:val="20"/>
          <w:szCs w:val="20"/>
        </w:rPr>
      </w:pPr>
      <w:r w:rsidRPr="00B31CA3">
        <w:rPr>
          <w:rFonts w:ascii="Times New Roman" w:hAnsi="Times New Roman" w:cs="Times New Roman"/>
          <w:sz w:val="20"/>
          <w:szCs w:val="20"/>
        </w:rPr>
        <w:t xml:space="preserve">Dostarczone urządzenie musi powiększyć posiadaną przez Zamawiającego dostępną powierzchnię o co najmniej 856TB (Base 10) do 1650TB użytecznej  (base10) przestrzeni w </w:t>
      </w:r>
      <w:r>
        <w:rPr>
          <w:rFonts w:ascii="Times New Roman" w:hAnsi="Times New Roman" w:cs="Times New Roman"/>
          <w:sz w:val="20"/>
          <w:szCs w:val="20"/>
        </w:rPr>
        <w:t>danym</w:t>
      </w:r>
      <w:r w:rsidRPr="00B31CA3">
        <w:rPr>
          <w:rFonts w:ascii="Times New Roman" w:hAnsi="Times New Roman" w:cs="Times New Roman"/>
          <w:sz w:val="20"/>
          <w:szCs w:val="20"/>
        </w:rPr>
        <w:t xml:space="preserve"> ośrodku.</w:t>
      </w:r>
    </w:p>
    <w:p w14:paraId="52CE7114" w14:textId="77777777" w:rsidR="00F147A8" w:rsidRPr="00F147A8" w:rsidRDefault="00B31CA3" w:rsidP="00F147A8">
      <w:pPr>
        <w:pStyle w:val="Akapitzlist"/>
        <w:numPr>
          <w:ilvl w:val="2"/>
          <w:numId w:val="4"/>
        </w:numPr>
        <w:spacing w:before="60" w:after="60"/>
        <w:rPr>
          <w:rFonts w:ascii="Times New Roman" w:hAnsi="Times New Roman" w:cs="Times New Roman"/>
          <w:sz w:val="20"/>
          <w:szCs w:val="20"/>
        </w:rPr>
      </w:pPr>
      <w:r>
        <w:rPr>
          <w:rFonts w:ascii="Times New Roman" w:hAnsi="Times New Roman" w:cs="Times New Roman"/>
          <w:sz w:val="20"/>
          <w:szCs w:val="20"/>
        </w:rPr>
        <w:t xml:space="preserve">Serwer musi zostać wyposażony w co najmniej </w:t>
      </w:r>
      <w:r w:rsidRPr="00B31CA3">
        <w:rPr>
          <w:rFonts w:ascii="Times New Roman" w:hAnsi="Times New Roman" w:cs="Times New Roman"/>
          <w:sz w:val="20"/>
          <w:szCs w:val="20"/>
        </w:rPr>
        <w:t>106</w:t>
      </w:r>
      <w:r>
        <w:rPr>
          <w:rFonts w:ascii="Times New Roman" w:hAnsi="Times New Roman" w:cs="Times New Roman"/>
          <w:sz w:val="20"/>
          <w:szCs w:val="20"/>
        </w:rPr>
        <w:t xml:space="preserve"> dysków </w:t>
      </w:r>
      <w:r w:rsidRPr="00B31CA3">
        <w:rPr>
          <w:rFonts w:ascii="Times New Roman" w:hAnsi="Times New Roman" w:cs="Times New Roman"/>
          <w:sz w:val="20"/>
          <w:szCs w:val="20"/>
        </w:rPr>
        <w:t>12TB</w:t>
      </w:r>
      <w:r>
        <w:rPr>
          <w:rFonts w:ascii="Times New Roman" w:hAnsi="Times New Roman" w:cs="Times New Roman"/>
          <w:sz w:val="20"/>
          <w:szCs w:val="20"/>
        </w:rPr>
        <w:t>.</w:t>
      </w:r>
    </w:p>
    <w:p w14:paraId="54D4E1C2" w14:textId="77777777" w:rsidR="00116624" w:rsidRDefault="00B31CA3" w:rsidP="00116624">
      <w:pPr>
        <w:pStyle w:val="Akapitzlist"/>
        <w:numPr>
          <w:ilvl w:val="1"/>
          <w:numId w:val="4"/>
        </w:numPr>
        <w:spacing w:before="60" w:after="60"/>
        <w:rPr>
          <w:rFonts w:ascii="Times New Roman" w:hAnsi="Times New Roman" w:cs="Times New Roman"/>
          <w:sz w:val="20"/>
          <w:szCs w:val="20"/>
        </w:rPr>
      </w:pPr>
      <w:r>
        <w:rPr>
          <w:rFonts w:ascii="Times New Roman" w:hAnsi="Times New Roman" w:cs="Times New Roman"/>
          <w:sz w:val="20"/>
          <w:szCs w:val="20"/>
        </w:rPr>
        <w:t>Klaster serwerów dla dodatkowej lokalizacji</w:t>
      </w:r>
    </w:p>
    <w:p w14:paraId="05E5B2FC" w14:textId="77777777" w:rsidR="00B31CA3" w:rsidRDefault="00B31CA3" w:rsidP="00B31CA3">
      <w:pPr>
        <w:pStyle w:val="Akapitzlist"/>
        <w:numPr>
          <w:ilvl w:val="2"/>
          <w:numId w:val="4"/>
        </w:numPr>
        <w:spacing w:before="60" w:after="60"/>
        <w:rPr>
          <w:rFonts w:ascii="Times New Roman" w:hAnsi="Times New Roman" w:cs="Times New Roman"/>
          <w:sz w:val="20"/>
          <w:szCs w:val="20"/>
        </w:rPr>
      </w:pPr>
      <w:r>
        <w:rPr>
          <w:rFonts w:ascii="Times New Roman" w:hAnsi="Times New Roman" w:cs="Times New Roman"/>
          <w:sz w:val="20"/>
          <w:szCs w:val="20"/>
        </w:rPr>
        <w:t>Dostarczone urządzenia muszą spełniać wszystkie wymagania określone w punkcie A.</w:t>
      </w:r>
    </w:p>
    <w:p w14:paraId="5810296A" w14:textId="77777777" w:rsidR="00B31CA3" w:rsidRDefault="00B31CA3" w:rsidP="00B31CA3">
      <w:pPr>
        <w:pStyle w:val="Akapitzlist"/>
        <w:numPr>
          <w:ilvl w:val="2"/>
          <w:numId w:val="4"/>
        </w:numPr>
        <w:spacing w:before="60" w:after="60"/>
        <w:rPr>
          <w:rFonts w:ascii="Times New Roman" w:hAnsi="Times New Roman" w:cs="Times New Roman"/>
          <w:sz w:val="20"/>
          <w:szCs w:val="20"/>
        </w:rPr>
      </w:pPr>
      <w:r>
        <w:rPr>
          <w:rFonts w:ascii="Times New Roman" w:hAnsi="Times New Roman" w:cs="Times New Roman"/>
          <w:sz w:val="20"/>
          <w:szCs w:val="20"/>
        </w:rPr>
        <w:t>Dostarczony klaster serwerów zostanie zainstalowany w nowej lokalizacji na terenie Unii Europejskiej</w:t>
      </w:r>
    </w:p>
    <w:p w14:paraId="7F11A65D" w14:textId="77777777" w:rsidR="00F147A8" w:rsidRDefault="00F147A8" w:rsidP="00044A6C">
      <w:pPr>
        <w:pStyle w:val="Akapitzlist"/>
        <w:numPr>
          <w:ilvl w:val="2"/>
          <w:numId w:val="4"/>
        </w:numPr>
        <w:rPr>
          <w:rFonts w:ascii="Times New Roman" w:hAnsi="Times New Roman" w:cs="Times New Roman"/>
          <w:sz w:val="20"/>
          <w:szCs w:val="20"/>
        </w:rPr>
      </w:pPr>
      <w:r w:rsidRPr="00F147A8">
        <w:rPr>
          <w:rFonts w:ascii="Times New Roman" w:hAnsi="Times New Roman" w:cs="Times New Roman"/>
          <w:sz w:val="20"/>
          <w:szCs w:val="20"/>
        </w:rPr>
        <w:t>Dostarczony klaster urządzeń musi zapewniać co najmniej 500TB (Base 10) przestrzeni</w:t>
      </w:r>
      <w:r>
        <w:rPr>
          <w:rFonts w:ascii="Times New Roman" w:hAnsi="Times New Roman" w:cs="Times New Roman"/>
          <w:sz w:val="20"/>
          <w:szCs w:val="20"/>
        </w:rPr>
        <w:t>.</w:t>
      </w:r>
    </w:p>
    <w:p w14:paraId="63283C56" w14:textId="77777777" w:rsidR="00F147A8" w:rsidRDefault="00F147A8" w:rsidP="00044A6C">
      <w:pPr>
        <w:pStyle w:val="Akapitzlist"/>
        <w:numPr>
          <w:ilvl w:val="2"/>
          <w:numId w:val="4"/>
        </w:numPr>
        <w:rPr>
          <w:rFonts w:ascii="Times New Roman" w:hAnsi="Times New Roman" w:cs="Times New Roman"/>
          <w:sz w:val="20"/>
          <w:szCs w:val="20"/>
        </w:rPr>
      </w:pPr>
      <w:r>
        <w:rPr>
          <w:rFonts w:ascii="Times New Roman" w:hAnsi="Times New Roman" w:cs="Times New Roman"/>
          <w:sz w:val="20"/>
          <w:szCs w:val="20"/>
        </w:rPr>
        <w:t>K</w:t>
      </w:r>
      <w:r w:rsidRPr="00F147A8">
        <w:rPr>
          <w:rFonts w:ascii="Times New Roman" w:hAnsi="Times New Roman" w:cs="Times New Roman"/>
          <w:sz w:val="20"/>
          <w:szCs w:val="20"/>
        </w:rPr>
        <w:t>laster urządzeń musi</w:t>
      </w:r>
      <w:r>
        <w:rPr>
          <w:rFonts w:ascii="Times New Roman" w:hAnsi="Times New Roman" w:cs="Times New Roman"/>
          <w:sz w:val="20"/>
          <w:szCs w:val="20"/>
        </w:rPr>
        <w:t xml:space="preserve"> składać się z co najmniej:</w:t>
      </w:r>
    </w:p>
    <w:p w14:paraId="199FA781" w14:textId="77777777" w:rsidR="00F147A8" w:rsidRDefault="00F147A8" w:rsidP="00F147A8">
      <w:pPr>
        <w:pStyle w:val="Akapitzlist"/>
        <w:numPr>
          <w:ilvl w:val="3"/>
          <w:numId w:val="4"/>
        </w:numPr>
        <w:rPr>
          <w:rFonts w:ascii="Times New Roman" w:hAnsi="Times New Roman" w:cs="Times New Roman"/>
          <w:sz w:val="20"/>
          <w:szCs w:val="20"/>
        </w:rPr>
      </w:pPr>
      <w:r>
        <w:rPr>
          <w:rFonts w:ascii="Times New Roman" w:hAnsi="Times New Roman" w:cs="Times New Roman"/>
          <w:sz w:val="20"/>
          <w:szCs w:val="20"/>
        </w:rPr>
        <w:t>Czterech węzłów dostępowych</w:t>
      </w:r>
    </w:p>
    <w:p w14:paraId="1CE9C7CC" w14:textId="77777777" w:rsidR="00B31CA3" w:rsidRPr="00F147A8" w:rsidRDefault="00F147A8" w:rsidP="00F147A8">
      <w:pPr>
        <w:pStyle w:val="Akapitzlist"/>
        <w:numPr>
          <w:ilvl w:val="3"/>
          <w:numId w:val="4"/>
        </w:numPr>
        <w:rPr>
          <w:rFonts w:ascii="Times New Roman" w:hAnsi="Times New Roman" w:cs="Times New Roman"/>
          <w:sz w:val="20"/>
          <w:szCs w:val="20"/>
        </w:rPr>
      </w:pPr>
      <w:r>
        <w:rPr>
          <w:rFonts w:ascii="Times New Roman" w:hAnsi="Times New Roman" w:cs="Times New Roman"/>
          <w:sz w:val="20"/>
          <w:szCs w:val="20"/>
        </w:rPr>
        <w:t>W</w:t>
      </w:r>
      <w:r w:rsidRPr="00116624">
        <w:rPr>
          <w:rFonts w:ascii="Times New Roman" w:hAnsi="Times New Roman" w:cs="Times New Roman"/>
          <w:sz w:val="20"/>
          <w:szCs w:val="20"/>
        </w:rPr>
        <w:t>ęz</w:t>
      </w:r>
      <w:r>
        <w:rPr>
          <w:rFonts w:ascii="Times New Roman" w:hAnsi="Times New Roman" w:cs="Times New Roman"/>
          <w:sz w:val="20"/>
          <w:szCs w:val="20"/>
        </w:rPr>
        <w:t>ła</w:t>
      </w:r>
      <w:r w:rsidRPr="00116624">
        <w:rPr>
          <w:rFonts w:ascii="Times New Roman" w:hAnsi="Times New Roman" w:cs="Times New Roman"/>
          <w:sz w:val="20"/>
          <w:szCs w:val="20"/>
        </w:rPr>
        <w:t xml:space="preserve"> przechowywania danych</w:t>
      </w:r>
      <w:r>
        <w:rPr>
          <w:rFonts w:ascii="Times New Roman" w:hAnsi="Times New Roman" w:cs="Times New Roman"/>
          <w:sz w:val="20"/>
          <w:szCs w:val="20"/>
        </w:rPr>
        <w:t xml:space="preserve"> </w:t>
      </w:r>
    </w:p>
    <w:sectPr w:rsidR="00B31CA3" w:rsidRPr="00F147A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A3A01" w14:textId="77777777" w:rsidR="00B940B4" w:rsidRDefault="00B940B4">
      <w:pPr>
        <w:spacing w:after="0" w:line="240" w:lineRule="auto"/>
      </w:pPr>
      <w:r>
        <w:separator/>
      </w:r>
    </w:p>
  </w:endnote>
  <w:endnote w:type="continuationSeparator" w:id="0">
    <w:p w14:paraId="7DAB24B2" w14:textId="77777777" w:rsidR="00B940B4" w:rsidRDefault="00B940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58D80" w14:textId="77777777" w:rsidR="0039734C" w:rsidRDefault="003973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6215498"/>
      <w:docPartObj>
        <w:docPartGallery w:val="Page Numbers (Bottom of Page)"/>
        <w:docPartUnique/>
      </w:docPartObj>
    </w:sdtPr>
    <w:sdtEndPr/>
    <w:sdtContent>
      <w:p w14:paraId="2CD754E1" w14:textId="77777777" w:rsidR="0039734C" w:rsidRDefault="008C5D48">
        <w:pPr>
          <w:pStyle w:val="Stopka"/>
          <w:jc w:val="right"/>
        </w:pPr>
        <w:r>
          <w:fldChar w:fldCharType="begin"/>
        </w:r>
        <w:r>
          <w:instrText xml:space="preserve"> PAGE </w:instrText>
        </w:r>
        <w:r>
          <w:fldChar w:fldCharType="separate"/>
        </w:r>
        <w:r>
          <w:t>2</w:t>
        </w:r>
        <w:r>
          <w:fldChar w:fldCharType="end"/>
        </w:r>
      </w:p>
    </w:sdtContent>
  </w:sdt>
  <w:p w14:paraId="5BDFF701" w14:textId="77777777" w:rsidR="0039734C" w:rsidRDefault="0039734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9933345"/>
      <w:docPartObj>
        <w:docPartGallery w:val="Page Numbers (Bottom of Page)"/>
        <w:docPartUnique/>
      </w:docPartObj>
    </w:sdtPr>
    <w:sdtEndPr/>
    <w:sdtContent>
      <w:p w14:paraId="171D39FB" w14:textId="77777777" w:rsidR="0039734C" w:rsidRDefault="008C5D48">
        <w:pPr>
          <w:pStyle w:val="Stopka"/>
          <w:jc w:val="right"/>
        </w:pPr>
        <w:r>
          <w:fldChar w:fldCharType="begin"/>
        </w:r>
        <w:r>
          <w:instrText xml:space="preserve"> PAGE </w:instrText>
        </w:r>
        <w:r>
          <w:fldChar w:fldCharType="separate"/>
        </w:r>
        <w:r>
          <w:t>2</w:t>
        </w:r>
        <w:r>
          <w:fldChar w:fldCharType="end"/>
        </w:r>
      </w:p>
    </w:sdtContent>
  </w:sdt>
  <w:p w14:paraId="5745FD31" w14:textId="77777777" w:rsidR="0039734C" w:rsidRDefault="0039734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29EF9" w14:textId="77777777" w:rsidR="00B940B4" w:rsidRDefault="00B940B4">
      <w:pPr>
        <w:spacing w:after="0" w:line="240" w:lineRule="auto"/>
      </w:pPr>
      <w:r>
        <w:separator/>
      </w:r>
    </w:p>
  </w:footnote>
  <w:footnote w:type="continuationSeparator" w:id="0">
    <w:p w14:paraId="63F03BA7" w14:textId="77777777" w:rsidR="00B940B4" w:rsidRDefault="00B940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56FE0" w14:textId="77777777" w:rsidR="0039734C" w:rsidRDefault="003973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03E0F" w14:textId="77777777" w:rsidR="0039734C" w:rsidRDefault="0039734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6FEB0" w14:textId="77777777" w:rsidR="0039734C" w:rsidRDefault="0039734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FF6"/>
    <w:multiLevelType w:val="multilevel"/>
    <w:tmpl w:val="1B7013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0EA77FC"/>
    <w:multiLevelType w:val="multilevel"/>
    <w:tmpl w:val="B854FECC"/>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2177BE5"/>
    <w:multiLevelType w:val="multilevel"/>
    <w:tmpl w:val="68887EF2"/>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BD6171"/>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57E24EF8"/>
    <w:multiLevelType w:val="multilevel"/>
    <w:tmpl w:val="8DC68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AD01B6A"/>
    <w:multiLevelType w:val="hybridMultilevel"/>
    <w:tmpl w:val="3A02C02A"/>
    <w:lvl w:ilvl="0" w:tplc="BB1C97E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34C"/>
    <w:rsid w:val="00116624"/>
    <w:rsid w:val="0036496C"/>
    <w:rsid w:val="0039734C"/>
    <w:rsid w:val="0045704D"/>
    <w:rsid w:val="004721D4"/>
    <w:rsid w:val="00610C6C"/>
    <w:rsid w:val="006A3EA0"/>
    <w:rsid w:val="008C5D48"/>
    <w:rsid w:val="009E392C"/>
    <w:rsid w:val="00B31CA3"/>
    <w:rsid w:val="00B940B4"/>
    <w:rsid w:val="00E0543B"/>
    <w:rsid w:val="00E641DA"/>
    <w:rsid w:val="00EF578D"/>
    <w:rsid w:val="00F147A8"/>
    <w:rsid w:val="00F62A10"/>
    <w:rsid w:val="00F97B30"/>
  </w:rsids>
  <m:mathPr>
    <m:mathFont m:val="Cambria Math"/>
    <m:brkBin m:val="before"/>
    <m:brkBinSub m:val="--"/>
    <m:smallFrac m:val="0"/>
    <m:dispDef/>
    <m:lMargin m:val="0"/>
    <m:rMargin m:val="0"/>
    <m:defJc m:val="centerGroup"/>
    <m:wrapIndent m:val="1440"/>
    <m:intLim m:val="subSup"/>
    <m:naryLim m:val="undOvr"/>
  </m:mathPr>
  <w:themeFontLang w:val="pl-PL"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6DBFA"/>
  <w15:docId w15:val="{87094AB3-26F2-49B3-8EC4-DAF2828EE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46BC"/>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basedOn w:val="Domylnaczcionkaakapitu"/>
    <w:uiPriority w:val="22"/>
    <w:qFormat/>
    <w:rsid w:val="0086734B"/>
    <w:rPr>
      <w:b/>
      <w:bCs/>
    </w:rPr>
  </w:style>
  <w:style w:type="character" w:customStyle="1" w:styleId="TekstdymkaZnak">
    <w:name w:val="Tekst dymka Znak"/>
    <w:basedOn w:val="Domylnaczcionkaakapitu"/>
    <w:link w:val="Tekstdymka"/>
    <w:uiPriority w:val="99"/>
    <w:semiHidden/>
    <w:qFormat/>
    <w:rsid w:val="00EE2E2B"/>
    <w:rPr>
      <w:rFonts w:ascii="Tahoma" w:hAnsi="Tahoma" w:cs="Tahoma"/>
      <w:sz w:val="16"/>
      <w:szCs w:val="16"/>
    </w:rPr>
  </w:style>
  <w:style w:type="character" w:customStyle="1" w:styleId="TekstprzypisukocowegoZnak">
    <w:name w:val="Tekst przypisu końcowego Znak"/>
    <w:basedOn w:val="Domylnaczcionkaakapitu"/>
    <w:link w:val="Tekstprzypisukocowego"/>
    <w:uiPriority w:val="99"/>
    <w:semiHidden/>
    <w:qFormat/>
    <w:rsid w:val="007F1805"/>
    <w:rPr>
      <w:sz w:val="20"/>
      <w:szCs w:val="20"/>
    </w:rPr>
  </w:style>
  <w:style w:type="character" w:customStyle="1" w:styleId="EndnoteCharacters">
    <w:name w:val="Endnote Characters"/>
    <w:uiPriority w:val="99"/>
    <w:semiHidden/>
    <w:unhideWhenUsed/>
    <w:qFormat/>
    <w:rsid w:val="007F1805"/>
    <w:rPr>
      <w:vertAlign w:val="superscript"/>
    </w:rPr>
  </w:style>
  <w:style w:type="character" w:styleId="Odwoanieprzypisukocowego">
    <w:name w:val="endnote reference"/>
    <w:rPr>
      <w:vertAlign w:val="superscript"/>
    </w:rPr>
  </w:style>
  <w:style w:type="character" w:customStyle="1" w:styleId="NagwekZnak">
    <w:name w:val="Nagłówek Znak"/>
    <w:basedOn w:val="Domylnaczcionkaakapitu"/>
    <w:link w:val="Nagwek"/>
    <w:uiPriority w:val="99"/>
    <w:qFormat/>
    <w:rsid w:val="00D84094"/>
  </w:style>
  <w:style w:type="character" w:customStyle="1" w:styleId="StopkaZnak">
    <w:name w:val="Stopka Znak"/>
    <w:basedOn w:val="Domylnaczcionkaakapitu"/>
    <w:link w:val="Stopka"/>
    <w:uiPriority w:val="99"/>
    <w:qFormat/>
    <w:rsid w:val="00D84094"/>
  </w:style>
  <w:style w:type="paragraph" w:customStyle="1" w:styleId="Heading">
    <w:name w:val="Heading"/>
    <w:basedOn w:val="Normalny"/>
    <w:next w:val="Tekstpodstawowy"/>
    <w:qFormat/>
    <w:pPr>
      <w:keepNext/>
      <w:spacing w:before="240" w:after="120"/>
    </w:pPr>
    <w:rPr>
      <w:rFonts w:ascii="Liberation Sans" w:eastAsia="Noto Sans CJK SC" w:hAnsi="Liberation Sans" w:cs="Noto Sans Devanagari"/>
      <w:sz w:val="28"/>
      <w:szCs w:val="28"/>
    </w:rPr>
  </w:style>
  <w:style w:type="paragraph" w:styleId="Tekstpodstawowy">
    <w:name w:val="Body Text"/>
    <w:basedOn w:val="Normalny"/>
    <w:pPr>
      <w:spacing w:after="140"/>
    </w:pPr>
  </w:style>
  <w:style w:type="paragraph" w:styleId="Lista">
    <w:name w:val="List"/>
    <w:basedOn w:val="Tekstpodstawowy"/>
    <w:rPr>
      <w:rFonts w:cs="Noto Sans Devanagari"/>
    </w:rPr>
  </w:style>
  <w:style w:type="paragraph" w:styleId="Legenda">
    <w:name w:val="caption"/>
    <w:basedOn w:val="Normalny"/>
    <w:qFormat/>
    <w:pPr>
      <w:suppressLineNumbers/>
      <w:spacing w:before="120" w:after="120"/>
    </w:pPr>
    <w:rPr>
      <w:rFonts w:cs="Noto Sans Devanagari"/>
      <w:i/>
      <w:iCs/>
      <w:sz w:val="24"/>
      <w:szCs w:val="24"/>
    </w:rPr>
  </w:style>
  <w:style w:type="paragraph" w:customStyle="1" w:styleId="Index">
    <w:name w:val="Index"/>
    <w:basedOn w:val="Normalny"/>
    <w:qFormat/>
    <w:pPr>
      <w:suppressLineNumbers/>
    </w:pPr>
    <w:rPr>
      <w:rFonts w:cs="Noto Sans Devanagari"/>
    </w:rPr>
  </w:style>
  <w:style w:type="paragraph" w:styleId="Akapitzlist">
    <w:name w:val="List Paragraph"/>
    <w:basedOn w:val="Normalny"/>
    <w:uiPriority w:val="34"/>
    <w:qFormat/>
    <w:rsid w:val="008A5C24"/>
    <w:pPr>
      <w:ind w:left="720"/>
      <w:contextualSpacing/>
    </w:pPr>
  </w:style>
  <w:style w:type="paragraph" w:styleId="Listapunktowana">
    <w:name w:val="List Bullet"/>
    <w:basedOn w:val="Normalny"/>
    <w:uiPriority w:val="99"/>
    <w:unhideWhenUsed/>
    <w:rsid w:val="00EF3A7D"/>
    <w:pPr>
      <w:numPr>
        <w:numId w:val="1"/>
      </w:numPr>
      <w:contextualSpacing/>
    </w:pPr>
  </w:style>
  <w:style w:type="paragraph" w:styleId="Bezodstpw">
    <w:name w:val="No Spacing"/>
    <w:uiPriority w:val="1"/>
    <w:qFormat/>
    <w:rsid w:val="0090290D"/>
  </w:style>
  <w:style w:type="paragraph" w:styleId="Tekstdymka">
    <w:name w:val="Balloon Text"/>
    <w:basedOn w:val="Normalny"/>
    <w:link w:val="TekstdymkaZnak"/>
    <w:uiPriority w:val="99"/>
    <w:semiHidden/>
    <w:unhideWhenUsed/>
    <w:qFormat/>
    <w:rsid w:val="00EE2E2B"/>
    <w:pPr>
      <w:spacing w:after="0" w:line="240" w:lineRule="auto"/>
    </w:pPr>
    <w:rPr>
      <w:rFonts w:ascii="Tahoma" w:hAnsi="Tahoma" w:cs="Tahoma"/>
      <w:sz w:val="16"/>
      <w:szCs w:val="16"/>
    </w:rPr>
  </w:style>
  <w:style w:type="paragraph" w:styleId="Tekstprzypisukocowego">
    <w:name w:val="endnote text"/>
    <w:basedOn w:val="Normalny"/>
    <w:link w:val="TekstprzypisukocowegoZnak"/>
    <w:uiPriority w:val="99"/>
    <w:semiHidden/>
    <w:unhideWhenUsed/>
    <w:rsid w:val="007F1805"/>
    <w:pPr>
      <w:spacing w:after="0" w:line="240" w:lineRule="auto"/>
    </w:pPr>
    <w:rPr>
      <w:sz w:val="20"/>
      <w:szCs w:val="20"/>
    </w:rPr>
  </w:style>
  <w:style w:type="paragraph" w:customStyle="1" w:styleId="HeaderandFooter">
    <w:name w:val="Header and Footer"/>
    <w:basedOn w:val="Normalny"/>
    <w:qFormat/>
  </w:style>
  <w:style w:type="paragraph" w:styleId="Nagwek">
    <w:name w:val="header"/>
    <w:basedOn w:val="Normalny"/>
    <w:link w:val="NagwekZnak"/>
    <w:uiPriority w:val="99"/>
    <w:unhideWhenUsed/>
    <w:rsid w:val="00D84094"/>
    <w:pPr>
      <w:tabs>
        <w:tab w:val="center" w:pos="4536"/>
        <w:tab w:val="right" w:pos="9072"/>
      </w:tabs>
      <w:spacing w:after="0" w:line="240" w:lineRule="auto"/>
    </w:pPr>
  </w:style>
  <w:style w:type="paragraph" w:styleId="Stopka">
    <w:name w:val="footer"/>
    <w:basedOn w:val="Normalny"/>
    <w:link w:val="StopkaZnak"/>
    <w:uiPriority w:val="99"/>
    <w:unhideWhenUsed/>
    <w:rsid w:val="00D84094"/>
    <w:pPr>
      <w:tabs>
        <w:tab w:val="center" w:pos="4536"/>
        <w:tab w:val="right" w:pos="9072"/>
      </w:tabs>
      <w:spacing w:after="0" w:line="240" w:lineRule="auto"/>
    </w:pPr>
  </w:style>
  <w:style w:type="table" w:styleId="Tabela-Siatka">
    <w:name w:val="Table Grid"/>
    <w:basedOn w:val="Standardowy"/>
    <w:uiPriority w:val="59"/>
    <w:rsid w:val="008A5C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45704D"/>
    <w:rPr>
      <w:color w:val="0000FF" w:themeColor="hyperlink"/>
      <w:u w:val="single"/>
    </w:rPr>
  </w:style>
  <w:style w:type="character" w:styleId="Nierozpoznanawzmianka">
    <w:name w:val="Unresolved Mention"/>
    <w:basedOn w:val="Domylnaczcionkaakapitu"/>
    <w:uiPriority w:val="99"/>
    <w:semiHidden/>
    <w:unhideWhenUsed/>
    <w:rsid w:val="0045704D"/>
    <w:rPr>
      <w:color w:val="605E5C"/>
      <w:shd w:val="clear" w:color="auto" w:fill="E1DFDD"/>
    </w:rPr>
  </w:style>
  <w:style w:type="character" w:styleId="Odwoaniedokomentarza">
    <w:name w:val="annotation reference"/>
    <w:basedOn w:val="Domylnaczcionkaakapitu"/>
    <w:uiPriority w:val="99"/>
    <w:semiHidden/>
    <w:unhideWhenUsed/>
    <w:rsid w:val="00F147A8"/>
    <w:rPr>
      <w:sz w:val="16"/>
      <w:szCs w:val="16"/>
    </w:rPr>
  </w:style>
  <w:style w:type="paragraph" w:styleId="Tekstkomentarza">
    <w:name w:val="annotation text"/>
    <w:basedOn w:val="Normalny"/>
    <w:link w:val="TekstkomentarzaZnak"/>
    <w:uiPriority w:val="99"/>
    <w:semiHidden/>
    <w:unhideWhenUsed/>
    <w:rsid w:val="00F147A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147A8"/>
    <w:rPr>
      <w:sz w:val="20"/>
      <w:szCs w:val="20"/>
    </w:rPr>
  </w:style>
  <w:style w:type="paragraph" w:styleId="Tematkomentarza">
    <w:name w:val="annotation subject"/>
    <w:basedOn w:val="Tekstkomentarza"/>
    <w:next w:val="Tekstkomentarza"/>
    <w:link w:val="TematkomentarzaZnak"/>
    <w:uiPriority w:val="99"/>
    <w:semiHidden/>
    <w:unhideWhenUsed/>
    <w:rsid w:val="00F147A8"/>
    <w:rPr>
      <w:b/>
      <w:bCs/>
    </w:rPr>
  </w:style>
  <w:style w:type="character" w:customStyle="1" w:styleId="TematkomentarzaZnak">
    <w:name w:val="Temat komentarza Znak"/>
    <w:basedOn w:val="TekstkomentarzaZnak"/>
    <w:link w:val="Tematkomentarza"/>
    <w:uiPriority w:val="99"/>
    <w:semiHidden/>
    <w:rsid w:val="00F147A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EE9684CFFB3234EA42456FD6BC9327C" ma:contentTypeVersion="7" ma:contentTypeDescription="Utwórz nowy dokument." ma:contentTypeScope="" ma:versionID="6d1d7a939096ec20d6ad1ba9f5cf0e55">
  <xsd:schema xmlns:xsd="http://www.w3.org/2001/XMLSchema" xmlns:xs="http://www.w3.org/2001/XMLSchema" xmlns:p="http://schemas.microsoft.com/office/2006/metadata/properties" xmlns:ns2="2b56b0e8-85b6-4553-a8ca-6e2e2bf03a9e" targetNamespace="http://schemas.microsoft.com/office/2006/metadata/properties" ma:root="true" ma:fieldsID="b1d3edb4249cc047f918e3f78cfbafca" ns2:_="">
    <xsd:import namespace="2b56b0e8-85b6-4553-a8ca-6e2e2bf03a9e"/>
    <xsd:element name="properties">
      <xsd:complexType>
        <xsd:sequence>
          <xsd:element name="documentManagement">
            <xsd:complexType>
              <xsd:all>
                <xsd:element ref="ns2:Status" minOccurs="0"/>
                <xsd:element ref="ns2:e4xd" minOccurs="0"/>
                <xsd:element ref="ns2:e4h4" minOccurs="0"/>
                <xsd:element ref="ns2:wnuk" minOccurs="0"/>
                <xsd:element ref="ns2:Osoba_x0020_z_x0020_DZ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56b0e8-85b6-4553-a8ca-6e2e2bf03a9e" elementFormDefault="qualified">
    <xsd:import namespace="http://schemas.microsoft.com/office/2006/documentManagement/types"/>
    <xsd:import namespace="http://schemas.microsoft.com/office/infopath/2007/PartnerControls"/>
    <xsd:element name="Status" ma:index="8" nillable="true" ma:displayName="Status" ma:default="Przygotowanie dokumentacji" ma:format="Dropdown" ma:internalName="Status">
      <xsd:simpleType>
        <xsd:restriction base="dms:Choice">
          <xsd:enumeration value="Przygotowanie dokumentacji"/>
          <xsd:enumeration value="Przetarg w toku"/>
          <xsd:enumeration value="Umowa obowiązuje"/>
          <xsd:enumeration value="Umowa zakończona"/>
        </xsd:restriction>
      </xsd:simpleType>
    </xsd:element>
    <xsd:element name="e4xd" ma:index="9" nillable="true" ma:displayName="Data zawarcia umowy" ma:format="DateOnly" ma:internalName="e4xd">
      <xsd:simpleType>
        <xsd:restriction base="dms:DateTime"/>
      </xsd:simpleType>
    </xsd:element>
    <xsd:element name="e4h4" ma:index="10" nillable="true" ma:displayName="Data końca umowy" ma:format="DateOnly" ma:internalName="e4h4">
      <xsd:simpleType>
        <xsd:restriction base="dms:DateTime"/>
      </xsd:simpleType>
    </xsd:element>
    <xsd:element name="wnuk" ma:index="11" nillable="true" ma:displayName="Nr umowy" ma:internalName="wnuk">
      <xsd:simpleType>
        <xsd:restriction base="dms:Text"/>
      </xsd:simpleType>
    </xsd:element>
    <xsd:element name="Osoba_x0020_z_x0020_DZP" ma:index="12" nillable="true" ma:displayName="Osoba z DZP" ma:internalName="Osoba_x0020_z_x0020_DZ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4xd xmlns="2b56b0e8-85b6-4553-a8ca-6e2e2bf03a9e" xsi:nil="true"/>
    <Status xmlns="2b56b0e8-85b6-4553-a8ca-6e2e2bf03a9e">Przygotowanie dokumentacji</Status>
    <e4h4 xmlns="2b56b0e8-85b6-4553-a8ca-6e2e2bf03a9e" xsi:nil="true"/>
    <wnuk xmlns="2b56b0e8-85b6-4553-a8ca-6e2e2bf03a9e" xsi:nil="true"/>
    <Osoba_x0020_z_x0020_DZP xmlns="2b56b0e8-85b6-4553-a8ca-6e2e2bf03a9e" xsi:nil="true"/>
  </documentManagement>
</p:properties>
</file>

<file path=customXml/itemProps1.xml><?xml version="1.0" encoding="utf-8"?>
<ds:datastoreItem xmlns:ds="http://schemas.openxmlformats.org/officeDocument/2006/customXml" ds:itemID="{CCABC553-164C-4496-A830-65A5ADE778D6}">
  <ds:schemaRefs>
    <ds:schemaRef ds:uri="http://schemas.openxmlformats.org/officeDocument/2006/bibliography"/>
  </ds:schemaRefs>
</ds:datastoreItem>
</file>

<file path=customXml/itemProps2.xml><?xml version="1.0" encoding="utf-8"?>
<ds:datastoreItem xmlns:ds="http://schemas.openxmlformats.org/officeDocument/2006/customXml" ds:itemID="{CC782F3B-89CA-4EB1-A99A-B01249BBF8F6}">
  <ds:schemaRefs>
    <ds:schemaRef ds:uri="http://schemas.microsoft.com/sharepoint/v3/contenttype/forms"/>
  </ds:schemaRefs>
</ds:datastoreItem>
</file>

<file path=customXml/itemProps3.xml><?xml version="1.0" encoding="utf-8"?>
<ds:datastoreItem xmlns:ds="http://schemas.openxmlformats.org/officeDocument/2006/customXml" ds:itemID="{DAAC2BC5-E42F-4923-8EB6-7460223AF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56b0e8-85b6-4553-a8ca-6e2e2bf03a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3116C9-2E86-4346-9589-E90A352E2315}">
  <ds:schemaRefs>
    <ds:schemaRef ds:uri="http://schemas.microsoft.com/office/2006/metadata/properties"/>
    <ds:schemaRef ds:uri="http://schemas.microsoft.com/office/infopath/2007/PartnerControls"/>
    <ds:schemaRef ds:uri="2b56b0e8-85b6-4553-a8ca-6e2e2bf03a9e"/>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2289</Words>
  <Characters>13738</Characters>
  <Application>Microsoft Office Word</Application>
  <DocSecurity>0</DocSecurity>
  <Lines>114</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pmichalski</dc:creator>
  <dc:description/>
  <cp:lastModifiedBy>Paulina Chudzicka</cp:lastModifiedBy>
  <cp:revision>5</cp:revision>
  <cp:lastPrinted>2018-11-20T14:57:00Z</cp:lastPrinted>
  <dcterms:created xsi:type="dcterms:W3CDTF">2026-01-08T11:07:00Z</dcterms:created>
  <dcterms:modified xsi:type="dcterms:W3CDTF">2026-02-09T10:26:00Z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0x0101002EE9684CFFB3234EA42456FD6BC9327C</vt:lpwstr>
  </property>
</Properties>
</file>